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4AF7" w14:textId="77777777" w:rsidR="00755B91" w:rsidRPr="00755B91" w:rsidRDefault="00755B91" w:rsidP="00755B91">
      <w:pPr>
        <w:spacing w:after="0" w:line="360" w:lineRule="auto"/>
        <w:jc w:val="center"/>
        <w:rPr>
          <w:rFonts w:cstheme="minorHAnsi"/>
          <w:b/>
        </w:rPr>
      </w:pPr>
      <w:r w:rsidRPr="00755B91">
        <w:rPr>
          <w:rFonts w:cstheme="minorHAnsi"/>
          <w:b/>
        </w:rPr>
        <w:t>REVISTA DE ADENAG</w:t>
      </w:r>
    </w:p>
    <w:p w14:paraId="1F13DCF2" w14:textId="77777777" w:rsidR="00755B91" w:rsidRPr="00755B91" w:rsidRDefault="00755B91" w:rsidP="00755B91">
      <w:pPr>
        <w:spacing w:after="0" w:line="360" w:lineRule="auto"/>
        <w:jc w:val="center"/>
        <w:rPr>
          <w:rFonts w:cstheme="minorHAnsi"/>
          <w:b/>
        </w:rPr>
      </w:pPr>
      <w:r w:rsidRPr="00755B91">
        <w:rPr>
          <w:rFonts w:cstheme="minorHAnsi"/>
          <w:b/>
        </w:rPr>
        <w:t>ISSN 1853-7367</w:t>
      </w:r>
    </w:p>
    <w:p w14:paraId="580FE304" w14:textId="77777777" w:rsidR="00755B91" w:rsidRPr="00755B91" w:rsidRDefault="00755B91" w:rsidP="00755B91">
      <w:pPr>
        <w:pBdr>
          <w:bottom w:val="single" w:sz="4" w:space="1" w:color="auto"/>
        </w:pBdr>
        <w:spacing w:after="0" w:line="360" w:lineRule="auto"/>
        <w:jc w:val="center"/>
        <w:rPr>
          <w:rFonts w:cstheme="minorHAnsi"/>
          <w:b/>
        </w:rPr>
      </w:pPr>
      <w:r w:rsidRPr="00755B91">
        <w:rPr>
          <w:rFonts w:cstheme="minorHAnsi"/>
          <w:b/>
        </w:rPr>
        <w:t>Ejemplar N° 11 – 2021</w:t>
      </w:r>
    </w:p>
    <w:p w14:paraId="7484E5A5" w14:textId="77777777" w:rsidR="00755B91" w:rsidRPr="00755B91" w:rsidRDefault="00755B91" w:rsidP="00755B91">
      <w:pPr>
        <w:spacing w:after="0" w:line="360" w:lineRule="auto"/>
        <w:jc w:val="center"/>
        <w:rPr>
          <w:rFonts w:cstheme="minorHAnsi"/>
          <w:b/>
        </w:rPr>
      </w:pPr>
    </w:p>
    <w:p w14:paraId="5F91F5EC" w14:textId="77777777" w:rsidR="00AB4BA9" w:rsidRPr="00755B91" w:rsidRDefault="00AB4BA9" w:rsidP="00755B91">
      <w:pPr>
        <w:spacing w:after="0" w:line="360" w:lineRule="auto"/>
        <w:jc w:val="center"/>
        <w:rPr>
          <w:rFonts w:cstheme="minorHAnsi"/>
          <w:b/>
          <w:lang w:val="en-US"/>
        </w:rPr>
      </w:pPr>
      <w:r w:rsidRPr="00755B91">
        <w:rPr>
          <w:rFonts w:cstheme="minorHAnsi"/>
          <w:b/>
        </w:rPr>
        <w:t xml:space="preserve">EFICIENCIA DE LA EJECUCIÓN PRESUPUESTARIA EN LA UNIVERSIDAD PÚBLICA ARGENTINA. </w:t>
      </w:r>
      <w:r w:rsidRPr="00755B91">
        <w:rPr>
          <w:rFonts w:cstheme="minorHAnsi"/>
          <w:b/>
          <w:lang w:val="en-US"/>
        </w:rPr>
        <w:t>ANÁLIS</w:t>
      </w:r>
      <w:r w:rsidR="009B0924" w:rsidRPr="00755B91">
        <w:rPr>
          <w:rFonts w:cstheme="minorHAnsi"/>
          <w:b/>
          <w:lang w:val="en-US"/>
        </w:rPr>
        <w:t>IS DE LA PARTIDA DE “PERSONAL”</w:t>
      </w:r>
    </w:p>
    <w:p w14:paraId="3CCF141B" w14:textId="014C0FF8" w:rsidR="0080465B" w:rsidRPr="00755B91" w:rsidRDefault="00E519BD" w:rsidP="00755B91">
      <w:pPr>
        <w:spacing w:after="0" w:line="360" w:lineRule="auto"/>
        <w:jc w:val="center"/>
        <w:rPr>
          <w:rFonts w:cstheme="minorHAnsi"/>
          <w:b/>
          <w:lang w:val="en-US"/>
        </w:rPr>
      </w:pPr>
      <w:r w:rsidRPr="00755B91">
        <w:rPr>
          <w:rFonts w:cstheme="minorHAnsi"/>
          <w:b/>
          <w:lang w:val="en-US"/>
        </w:rPr>
        <w:t xml:space="preserve">EFFICIENCY OF BUDGET EXECUTION IN PUBLIC UNIVERSITIES OF ARGENTINA. </w:t>
      </w:r>
      <w:r w:rsidR="003E0BE9" w:rsidRPr="00755B91">
        <w:rPr>
          <w:rFonts w:cstheme="minorHAnsi"/>
          <w:b/>
          <w:lang w:val="en-US"/>
        </w:rPr>
        <w:br/>
      </w:r>
      <w:r w:rsidRPr="00755B91">
        <w:rPr>
          <w:rFonts w:cstheme="minorHAnsi"/>
          <w:b/>
          <w:lang w:val="en-US"/>
        </w:rPr>
        <w:t>ANALYSIS OF THE "PERSONNEL" ITEM</w:t>
      </w:r>
    </w:p>
    <w:p w14:paraId="38C05182" w14:textId="77777777" w:rsidR="003E0BE9" w:rsidRPr="00755B91" w:rsidRDefault="003E0BE9" w:rsidP="00755B91">
      <w:pPr>
        <w:spacing w:after="0" w:line="360" w:lineRule="auto"/>
        <w:jc w:val="center"/>
        <w:rPr>
          <w:rFonts w:cstheme="minorHAnsi"/>
          <w:b/>
          <w:bCs/>
          <w:lang w:val="en-US"/>
        </w:rPr>
      </w:pPr>
    </w:p>
    <w:p w14:paraId="35CD92D0" w14:textId="77777777" w:rsidR="00755B91" w:rsidRPr="00755B91" w:rsidRDefault="003E0BE9" w:rsidP="00755B91">
      <w:pPr>
        <w:spacing w:after="0" w:line="360" w:lineRule="auto"/>
        <w:jc w:val="both"/>
        <w:rPr>
          <w:rFonts w:cstheme="minorHAnsi"/>
          <w:lang w:val="pt-BR"/>
        </w:rPr>
      </w:pPr>
      <w:r w:rsidRPr="00755B91">
        <w:rPr>
          <w:rFonts w:cstheme="minorHAnsi"/>
          <w:b/>
          <w:bCs/>
          <w:lang w:val="pt-BR"/>
        </w:rPr>
        <w:t xml:space="preserve">Rosana Elizabeth Ruiz </w:t>
      </w:r>
      <w:hyperlink r:id="rId8" w:history="1">
        <w:r w:rsidR="00755B91" w:rsidRPr="00755B91">
          <w:rPr>
            <w:rStyle w:val="Hipervnculo"/>
            <w:rFonts w:cstheme="minorHAnsi"/>
            <w:lang w:val="pt-BR"/>
          </w:rPr>
          <w:t>reruiz_12@yahoo.com.ar</w:t>
        </w:r>
      </w:hyperlink>
    </w:p>
    <w:p w14:paraId="1FFABBC5" w14:textId="77777777" w:rsidR="00755B91" w:rsidRPr="00755B91" w:rsidRDefault="003E0BE9" w:rsidP="00755B91">
      <w:pPr>
        <w:spacing w:after="0" w:line="360" w:lineRule="auto"/>
        <w:jc w:val="both"/>
        <w:rPr>
          <w:rStyle w:val="Hipervnculo"/>
          <w:rFonts w:cstheme="minorHAnsi"/>
        </w:rPr>
      </w:pPr>
      <w:r w:rsidRPr="00755B91">
        <w:rPr>
          <w:rFonts w:cstheme="minorHAnsi"/>
          <w:b/>
          <w:bCs/>
        </w:rPr>
        <w:t xml:space="preserve">Esteban Carlos </w:t>
      </w:r>
      <w:proofErr w:type="spellStart"/>
      <w:r w:rsidRPr="00755B91">
        <w:rPr>
          <w:rFonts w:cstheme="minorHAnsi"/>
          <w:b/>
          <w:bCs/>
        </w:rPr>
        <w:t>Reston</w:t>
      </w:r>
      <w:proofErr w:type="spellEnd"/>
      <w:r w:rsidRPr="00755B91">
        <w:rPr>
          <w:rFonts w:cstheme="minorHAnsi"/>
          <w:b/>
          <w:bCs/>
        </w:rPr>
        <w:t xml:space="preserve"> </w:t>
      </w:r>
      <w:hyperlink r:id="rId9" w:history="1">
        <w:r w:rsidR="00755B91" w:rsidRPr="00755B91">
          <w:rPr>
            <w:rStyle w:val="Hipervnculo"/>
            <w:rFonts w:cstheme="minorHAnsi"/>
          </w:rPr>
          <w:t>esteban.reston@gmail.com</w:t>
        </w:r>
      </w:hyperlink>
    </w:p>
    <w:p w14:paraId="549B9D3F" w14:textId="77777777" w:rsidR="00755B91" w:rsidRDefault="00E306F6" w:rsidP="00755B91">
      <w:pPr>
        <w:spacing w:after="0" w:line="360" w:lineRule="auto"/>
        <w:jc w:val="both"/>
        <w:rPr>
          <w:rFonts w:cstheme="minorHAnsi"/>
        </w:rPr>
      </w:pPr>
      <w:r w:rsidRPr="00755B91">
        <w:rPr>
          <w:rFonts w:cstheme="minorHAnsi"/>
        </w:rPr>
        <w:t>Facultad de Ciencias Económicas, Jurídicas y Sociales Universidad Nacional de Salta</w:t>
      </w:r>
    </w:p>
    <w:p w14:paraId="506B8A9A" w14:textId="7D84601C" w:rsidR="00EA3979" w:rsidRDefault="00EA3979" w:rsidP="00755B91">
      <w:pPr>
        <w:spacing w:after="0" w:line="360" w:lineRule="auto"/>
        <w:jc w:val="both"/>
        <w:rPr>
          <w:rFonts w:cstheme="minorHAnsi"/>
        </w:rPr>
      </w:pPr>
    </w:p>
    <w:p w14:paraId="5A6809FB" w14:textId="77777777" w:rsidR="00755B91" w:rsidRPr="00755B91" w:rsidRDefault="00755B91" w:rsidP="00755B91">
      <w:pPr>
        <w:spacing w:after="0" w:line="360" w:lineRule="auto"/>
        <w:jc w:val="both"/>
        <w:rPr>
          <w:rFonts w:cstheme="minorHAnsi"/>
          <w:b/>
        </w:rPr>
      </w:pPr>
    </w:p>
    <w:p w14:paraId="31DA3499" w14:textId="3F30DBC2" w:rsidR="00EA3979" w:rsidRPr="00755B91" w:rsidRDefault="00EA3979" w:rsidP="00755B91">
      <w:pPr>
        <w:spacing w:after="0" w:line="360" w:lineRule="auto"/>
        <w:jc w:val="both"/>
        <w:rPr>
          <w:rFonts w:cstheme="minorHAnsi"/>
          <w:b/>
        </w:rPr>
      </w:pPr>
      <w:r w:rsidRPr="00755B91">
        <w:rPr>
          <w:rFonts w:cstheme="minorHAnsi"/>
          <w:b/>
        </w:rPr>
        <w:t>Articulo Científico</w:t>
      </w:r>
    </w:p>
    <w:p w14:paraId="7DF0665D" w14:textId="3FCD8EF2" w:rsidR="00755B91" w:rsidRPr="002C1436" w:rsidRDefault="00755B91" w:rsidP="00755B91">
      <w:pPr>
        <w:spacing w:after="0" w:line="360" w:lineRule="auto"/>
        <w:jc w:val="both"/>
        <w:rPr>
          <w:rFonts w:cstheme="minorHAnsi"/>
          <w:b/>
          <w:bCs/>
        </w:rPr>
      </w:pPr>
      <w:r w:rsidRPr="002C1436">
        <w:rPr>
          <w:rFonts w:cstheme="minorHAnsi"/>
          <w:b/>
          <w:bCs/>
        </w:rPr>
        <w:t xml:space="preserve">JEL: </w:t>
      </w:r>
      <w:r w:rsidR="002C1436" w:rsidRPr="002C1436">
        <w:rPr>
          <w:rFonts w:cstheme="minorHAnsi"/>
          <w:b/>
          <w:bCs/>
        </w:rPr>
        <w:t>H52</w:t>
      </w:r>
    </w:p>
    <w:p w14:paraId="45B2ED16" w14:textId="3459E999" w:rsidR="00AB4BA9" w:rsidRDefault="00AB4BA9" w:rsidP="00755B91">
      <w:pPr>
        <w:spacing w:after="0" w:line="360" w:lineRule="auto"/>
        <w:jc w:val="both"/>
        <w:rPr>
          <w:rFonts w:cstheme="minorHAnsi"/>
          <w:b/>
        </w:rPr>
      </w:pPr>
    </w:p>
    <w:p w14:paraId="78636F1E" w14:textId="77777777" w:rsidR="00755B91" w:rsidRPr="00755B91" w:rsidRDefault="00755B91" w:rsidP="00755B91">
      <w:pPr>
        <w:spacing w:after="0" w:line="360" w:lineRule="auto"/>
        <w:jc w:val="both"/>
        <w:rPr>
          <w:rFonts w:cstheme="minorHAnsi"/>
          <w:b/>
        </w:rPr>
      </w:pPr>
    </w:p>
    <w:p w14:paraId="7C3E328A" w14:textId="01D9B663" w:rsidR="006A3F41" w:rsidRPr="00755B91" w:rsidRDefault="003E0BE9" w:rsidP="00755B91">
      <w:pPr>
        <w:spacing w:after="0" w:line="360" w:lineRule="auto"/>
        <w:jc w:val="both"/>
        <w:rPr>
          <w:rFonts w:cstheme="minorHAnsi"/>
          <w:b/>
        </w:rPr>
      </w:pPr>
      <w:r w:rsidRPr="00755B91">
        <w:rPr>
          <w:rFonts w:cstheme="minorHAnsi"/>
          <w:b/>
        </w:rPr>
        <w:t>Resumen</w:t>
      </w:r>
    </w:p>
    <w:p w14:paraId="7925D842" w14:textId="77777777" w:rsidR="006B3913" w:rsidRPr="00755B91" w:rsidRDefault="006B3913" w:rsidP="00755B91">
      <w:pPr>
        <w:spacing w:after="0" w:line="360" w:lineRule="auto"/>
        <w:ind w:firstLine="567"/>
        <w:jc w:val="both"/>
        <w:rPr>
          <w:rFonts w:cstheme="minorHAnsi"/>
        </w:rPr>
      </w:pPr>
      <w:r w:rsidRPr="00755B91">
        <w:rPr>
          <w:rFonts w:cstheme="minorHAnsi"/>
        </w:rPr>
        <w:t xml:space="preserve">Este trabajo </w:t>
      </w:r>
      <w:r w:rsidR="00E465E6" w:rsidRPr="00755B91">
        <w:rPr>
          <w:rFonts w:cstheme="minorHAnsi"/>
        </w:rPr>
        <w:t>propone</w:t>
      </w:r>
      <w:r w:rsidRPr="00755B91">
        <w:rPr>
          <w:rFonts w:cstheme="minorHAnsi"/>
        </w:rPr>
        <w:t xml:space="preserve"> evaluar la eficiencia </w:t>
      </w:r>
      <w:r w:rsidR="00A113EA" w:rsidRPr="00755B91">
        <w:rPr>
          <w:rFonts w:cstheme="minorHAnsi"/>
        </w:rPr>
        <w:t xml:space="preserve">de la inversión pública en el </w:t>
      </w:r>
      <w:r w:rsidRPr="00755B91">
        <w:rPr>
          <w:rFonts w:cstheme="minorHAnsi"/>
        </w:rPr>
        <w:t>inciso “Personal”</w:t>
      </w:r>
      <w:r w:rsidR="00A113EA" w:rsidRPr="00755B91">
        <w:rPr>
          <w:rFonts w:cstheme="minorHAnsi"/>
        </w:rPr>
        <w:t xml:space="preserve"> del presupuesto </w:t>
      </w:r>
      <w:r w:rsidR="00663A2C" w:rsidRPr="00755B91">
        <w:rPr>
          <w:rFonts w:cstheme="minorHAnsi"/>
        </w:rPr>
        <w:t>ejecutado</w:t>
      </w:r>
      <w:r w:rsidRPr="00755B91">
        <w:rPr>
          <w:rFonts w:cstheme="minorHAnsi"/>
        </w:rPr>
        <w:t xml:space="preserve"> </w:t>
      </w:r>
      <w:r w:rsidR="00663A2C" w:rsidRPr="00755B91">
        <w:rPr>
          <w:rFonts w:cstheme="minorHAnsi"/>
        </w:rPr>
        <w:t xml:space="preserve">de las </w:t>
      </w:r>
      <w:r w:rsidRPr="00755B91">
        <w:rPr>
          <w:rFonts w:cstheme="minorHAnsi"/>
        </w:rPr>
        <w:t xml:space="preserve">universidades del Sistema Universitario Público de Argentina </w:t>
      </w:r>
      <w:r w:rsidR="00A113EA" w:rsidRPr="00755B91">
        <w:rPr>
          <w:rFonts w:cstheme="minorHAnsi"/>
        </w:rPr>
        <w:t>en carreras de pregrado y grado</w:t>
      </w:r>
      <w:r w:rsidR="00D67775" w:rsidRPr="00755B91">
        <w:rPr>
          <w:rFonts w:cstheme="minorHAnsi"/>
        </w:rPr>
        <w:t>, con relación al resultado en “egresados”.</w:t>
      </w:r>
    </w:p>
    <w:p w14:paraId="3BE64D32" w14:textId="77777777" w:rsidR="006B3913" w:rsidRPr="00755B91" w:rsidRDefault="008029A1" w:rsidP="00755B91">
      <w:pPr>
        <w:spacing w:after="0" w:line="360" w:lineRule="auto"/>
        <w:ind w:firstLine="567"/>
        <w:jc w:val="both"/>
        <w:rPr>
          <w:rFonts w:cstheme="minorHAnsi"/>
        </w:rPr>
      </w:pPr>
      <w:r w:rsidRPr="00755B91">
        <w:rPr>
          <w:rFonts w:cstheme="minorHAnsi"/>
          <w:color w:val="000000" w:themeColor="text1"/>
        </w:rPr>
        <w:t>S</w:t>
      </w:r>
      <w:r w:rsidR="006B3913" w:rsidRPr="00755B91">
        <w:rPr>
          <w:rFonts w:cstheme="minorHAnsi"/>
          <w:color w:val="000000" w:themeColor="text1"/>
        </w:rPr>
        <w:t xml:space="preserve">e </w:t>
      </w:r>
      <w:r w:rsidR="007F3E32" w:rsidRPr="00755B91">
        <w:rPr>
          <w:rFonts w:cstheme="minorHAnsi"/>
          <w:color w:val="000000" w:themeColor="text1"/>
        </w:rPr>
        <w:t>prioriza el análisis de</w:t>
      </w:r>
      <w:r w:rsidR="006B3913" w:rsidRPr="00755B91">
        <w:rPr>
          <w:rFonts w:cstheme="minorHAnsi"/>
          <w:color w:val="000000" w:themeColor="text1"/>
        </w:rPr>
        <w:t xml:space="preserve"> </w:t>
      </w:r>
      <w:r w:rsidR="006B3913" w:rsidRPr="00755B91">
        <w:rPr>
          <w:rFonts w:cstheme="minorHAnsi"/>
        </w:rPr>
        <w:t xml:space="preserve">la partida “Personal” </w:t>
      </w:r>
      <w:r w:rsidRPr="00755B91">
        <w:rPr>
          <w:rFonts w:cstheme="minorHAnsi"/>
        </w:rPr>
        <w:t>porque</w:t>
      </w:r>
      <w:r w:rsidR="007F3E32" w:rsidRPr="00755B91">
        <w:rPr>
          <w:rFonts w:cstheme="minorHAnsi"/>
        </w:rPr>
        <w:t>,</w:t>
      </w:r>
      <w:r w:rsidRPr="00755B91">
        <w:rPr>
          <w:rFonts w:cstheme="minorHAnsi"/>
        </w:rPr>
        <w:t xml:space="preserve"> </w:t>
      </w:r>
      <w:r w:rsidR="007F3E32" w:rsidRPr="00755B91">
        <w:rPr>
          <w:rFonts w:cstheme="minorHAnsi"/>
          <w:color w:val="000000" w:themeColor="text1"/>
        </w:rPr>
        <w:t>según la evidencia empírica</w:t>
      </w:r>
      <w:r w:rsidR="007F3E32" w:rsidRPr="00755B91">
        <w:rPr>
          <w:rFonts w:cstheme="minorHAnsi"/>
        </w:rPr>
        <w:t xml:space="preserve">, </w:t>
      </w:r>
      <w:r w:rsidR="00D67775" w:rsidRPr="00755B91">
        <w:rPr>
          <w:rFonts w:cstheme="minorHAnsi"/>
        </w:rPr>
        <w:t>un</w:t>
      </w:r>
      <w:r w:rsidR="006B3913" w:rsidRPr="00755B91">
        <w:rPr>
          <w:rFonts w:cstheme="minorHAnsi"/>
        </w:rPr>
        <w:t xml:space="preserve"> 80% del presupuesto </w:t>
      </w:r>
      <w:r w:rsidR="00D67775" w:rsidRPr="00755B91">
        <w:rPr>
          <w:rFonts w:cstheme="minorHAnsi"/>
        </w:rPr>
        <w:t xml:space="preserve">ejecutado </w:t>
      </w:r>
      <w:r w:rsidR="006B3913" w:rsidRPr="00755B91">
        <w:rPr>
          <w:rFonts w:cstheme="minorHAnsi"/>
        </w:rPr>
        <w:t xml:space="preserve">de la universidad pública se destina </w:t>
      </w:r>
      <w:r w:rsidRPr="00755B91">
        <w:rPr>
          <w:rFonts w:cstheme="minorHAnsi"/>
        </w:rPr>
        <w:t>a</w:t>
      </w:r>
      <w:r w:rsidR="006B3913" w:rsidRPr="00755B91">
        <w:rPr>
          <w:rFonts w:cstheme="minorHAnsi"/>
        </w:rPr>
        <w:t xml:space="preserve"> salarios y cargas sociales de personal docente</w:t>
      </w:r>
      <w:r w:rsidR="00D67775" w:rsidRPr="00755B91">
        <w:rPr>
          <w:rFonts w:cstheme="minorHAnsi"/>
        </w:rPr>
        <w:t>, autoridades y personal de apoyo universitario y de servicios.</w:t>
      </w:r>
    </w:p>
    <w:p w14:paraId="0D2C3C54" w14:textId="2B93B289" w:rsidR="00C53C40" w:rsidRPr="00755B91" w:rsidRDefault="006B3913" w:rsidP="00755B91">
      <w:pPr>
        <w:spacing w:after="0" w:line="360" w:lineRule="auto"/>
        <w:ind w:firstLine="567"/>
        <w:jc w:val="both"/>
        <w:rPr>
          <w:rFonts w:cstheme="minorHAnsi"/>
          <w:b/>
          <w:color w:val="000000" w:themeColor="text1"/>
          <w:lang w:val="es-ES_tradnl"/>
        </w:rPr>
      </w:pPr>
      <w:r w:rsidRPr="00755B91">
        <w:rPr>
          <w:rFonts w:cstheme="minorHAnsi"/>
          <w:lang w:val="es-ES_tradnl"/>
        </w:rPr>
        <w:t xml:space="preserve">Para la evaluación de la eficiencia </w:t>
      </w:r>
      <w:r w:rsidR="00260C43" w:rsidRPr="00755B91">
        <w:rPr>
          <w:rFonts w:cstheme="minorHAnsi"/>
          <w:lang w:val="es-ES_tradnl"/>
        </w:rPr>
        <w:t>de la mencionada partida presupuestaria</w:t>
      </w:r>
      <w:r w:rsidRPr="00755B91">
        <w:rPr>
          <w:rFonts w:cstheme="minorHAnsi"/>
          <w:lang w:val="es-ES_tradnl"/>
        </w:rPr>
        <w:t xml:space="preserve"> se </w:t>
      </w:r>
      <w:r w:rsidR="007F3E32" w:rsidRPr="00755B91">
        <w:rPr>
          <w:rFonts w:cstheme="minorHAnsi"/>
          <w:lang w:val="es-ES_tradnl"/>
        </w:rPr>
        <w:t xml:space="preserve">analiza </w:t>
      </w:r>
      <w:r w:rsidR="00C53C40" w:rsidRPr="00755B91">
        <w:rPr>
          <w:rFonts w:cstheme="minorHAnsi"/>
          <w:lang w:val="es-ES_tradnl"/>
        </w:rPr>
        <w:t xml:space="preserve">inicialmente </w:t>
      </w:r>
      <w:r w:rsidR="007F3E32" w:rsidRPr="00755B91">
        <w:rPr>
          <w:rFonts w:cstheme="minorHAnsi"/>
          <w:color w:val="000000" w:themeColor="text1"/>
          <w:lang w:val="es-ES_tradnl"/>
        </w:rPr>
        <w:t>una población de</w:t>
      </w:r>
      <w:r w:rsidR="00FC4ADD" w:rsidRPr="00755B91">
        <w:rPr>
          <w:rFonts w:cstheme="minorHAnsi"/>
          <w:color w:val="000000" w:themeColor="text1"/>
          <w:lang w:val="es-ES_tradnl"/>
        </w:rPr>
        <w:t xml:space="preserve"> 57</w:t>
      </w:r>
      <w:r w:rsidRPr="00755B91">
        <w:rPr>
          <w:rFonts w:cstheme="minorHAnsi"/>
          <w:color w:val="000000" w:themeColor="text1"/>
          <w:lang w:val="es-ES_tradnl"/>
        </w:rPr>
        <w:t xml:space="preserve"> universidades </w:t>
      </w:r>
      <w:r w:rsidR="007F3E32" w:rsidRPr="00755B91">
        <w:rPr>
          <w:rFonts w:cstheme="minorHAnsi"/>
          <w:color w:val="000000" w:themeColor="text1"/>
          <w:lang w:val="es-ES_tradnl"/>
        </w:rPr>
        <w:t xml:space="preserve">de gestión pública, </w:t>
      </w:r>
      <w:r w:rsidR="00A3340C" w:rsidRPr="00755B91">
        <w:rPr>
          <w:rFonts w:cstheme="minorHAnsi"/>
          <w:color w:val="000000" w:themeColor="text1"/>
          <w:lang w:val="es-ES_tradnl"/>
        </w:rPr>
        <w:t>habiéndose</w:t>
      </w:r>
      <w:r w:rsidR="00FC4ADD" w:rsidRPr="00755B91">
        <w:rPr>
          <w:rFonts w:cstheme="minorHAnsi"/>
          <w:color w:val="000000" w:themeColor="text1"/>
          <w:lang w:val="es-ES_tradnl"/>
        </w:rPr>
        <w:t xml:space="preserve"> excluido</w:t>
      </w:r>
      <w:r w:rsidR="0099264C" w:rsidRPr="00755B91">
        <w:rPr>
          <w:rFonts w:cstheme="minorHAnsi"/>
          <w:color w:val="000000" w:themeColor="text1"/>
          <w:lang w:val="es-ES_tradnl"/>
        </w:rPr>
        <w:t xml:space="preserve"> </w:t>
      </w:r>
      <w:r w:rsidR="00C53C40" w:rsidRPr="00755B91">
        <w:rPr>
          <w:rFonts w:cstheme="minorHAnsi"/>
          <w:color w:val="000000" w:themeColor="text1"/>
          <w:lang w:val="es-ES_tradnl"/>
        </w:rPr>
        <w:t xml:space="preserve">posteriormente </w:t>
      </w:r>
      <w:r w:rsidR="007F3E32" w:rsidRPr="00755B91">
        <w:rPr>
          <w:rFonts w:cstheme="minorHAnsi"/>
          <w:color w:val="000000" w:themeColor="text1"/>
          <w:lang w:val="es-ES_tradnl"/>
        </w:rPr>
        <w:t xml:space="preserve">de dicha población a </w:t>
      </w:r>
      <w:r w:rsidR="00FC4ADD" w:rsidRPr="00755B91">
        <w:rPr>
          <w:rFonts w:cstheme="minorHAnsi"/>
          <w:color w:val="000000" w:themeColor="text1"/>
          <w:lang w:val="es-ES_tradnl"/>
        </w:rPr>
        <w:t>5 universidades por falta de información en algunas de</w:t>
      </w:r>
      <w:r w:rsidR="00966CD9" w:rsidRPr="00755B91">
        <w:rPr>
          <w:rFonts w:cstheme="minorHAnsi"/>
          <w:color w:val="000000" w:themeColor="text1"/>
          <w:lang w:val="es-ES_tradnl"/>
        </w:rPr>
        <w:t xml:space="preserve"> </w:t>
      </w:r>
      <w:r w:rsidR="00FC4ADD" w:rsidRPr="00755B91">
        <w:rPr>
          <w:rFonts w:cstheme="minorHAnsi"/>
          <w:color w:val="000000" w:themeColor="text1"/>
          <w:lang w:val="es-ES_tradnl"/>
        </w:rPr>
        <w:t>las variables analizadas</w:t>
      </w:r>
      <w:r w:rsidRPr="00755B91">
        <w:rPr>
          <w:rFonts w:cstheme="minorHAnsi"/>
          <w:color w:val="000000" w:themeColor="text1"/>
          <w:lang w:val="es-ES_tradnl"/>
        </w:rPr>
        <w:t>.</w:t>
      </w:r>
      <w:r w:rsidR="00C53C40" w:rsidRPr="00755B91">
        <w:rPr>
          <w:rFonts w:cstheme="minorHAnsi"/>
          <w:b/>
          <w:color w:val="000000" w:themeColor="text1"/>
          <w:lang w:val="es-ES_tradnl"/>
        </w:rPr>
        <w:t xml:space="preserve"> </w:t>
      </w:r>
    </w:p>
    <w:p w14:paraId="751308BA" w14:textId="77777777" w:rsidR="00C53C40" w:rsidRPr="00755B91" w:rsidRDefault="00C53C40" w:rsidP="00755B91">
      <w:pPr>
        <w:spacing w:after="0" w:line="360" w:lineRule="auto"/>
        <w:ind w:firstLine="567"/>
        <w:jc w:val="both"/>
        <w:rPr>
          <w:rFonts w:cstheme="minorHAnsi"/>
          <w:lang w:val="es-ES_tradnl"/>
        </w:rPr>
      </w:pPr>
      <w:r w:rsidRPr="00755B91">
        <w:rPr>
          <w:rFonts w:cstheme="minorHAnsi"/>
          <w:color w:val="000000" w:themeColor="text1"/>
          <w:lang w:val="es-ES_tradnl"/>
        </w:rPr>
        <w:t>Para la determinación de los índices de eficiencia de cada universidad se aplica</w:t>
      </w:r>
      <w:r w:rsidR="006B3913" w:rsidRPr="00755B91">
        <w:rPr>
          <w:rFonts w:cstheme="minorHAnsi"/>
          <w:color w:val="000000" w:themeColor="text1"/>
          <w:lang w:val="es-ES_tradnl"/>
        </w:rPr>
        <w:t xml:space="preserve"> </w:t>
      </w:r>
      <w:r w:rsidR="006B3913" w:rsidRPr="00755B91">
        <w:rPr>
          <w:rFonts w:cstheme="minorHAnsi"/>
          <w:lang w:val="es-ES_tradnl"/>
        </w:rPr>
        <w:t>la metodología del Aná</w:t>
      </w:r>
      <w:r w:rsidRPr="00755B91">
        <w:rPr>
          <w:rFonts w:cstheme="minorHAnsi"/>
          <w:lang w:val="es-ES_tradnl"/>
        </w:rPr>
        <w:t xml:space="preserve">lisis Envolvente de Datos (DEA). </w:t>
      </w:r>
    </w:p>
    <w:p w14:paraId="7642B9D5" w14:textId="77777777" w:rsidR="00EF4BC9" w:rsidRPr="00755B91" w:rsidRDefault="002D131E" w:rsidP="00755B91">
      <w:pPr>
        <w:spacing w:after="0" w:line="360" w:lineRule="auto"/>
        <w:ind w:firstLine="567"/>
        <w:jc w:val="both"/>
        <w:rPr>
          <w:rFonts w:cstheme="minorHAnsi"/>
          <w:lang w:val="es-ES_tradnl"/>
        </w:rPr>
      </w:pPr>
      <w:r w:rsidRPr="00755B91">
        <w:rPr>
          <w:rFonts w:cstheme="minorHAnsi"/>
          <w:lang w:val="es-ES_tradnl"/>
        </w:rPr>
        <w:t xml:space="preserve">Los resultados </w:t>
      </w:r>
      <w:r w:rsidR="0030692A" w:rsidRPr="00755B91">
        <w:rPr>
          <w:rFonts w:cstheme="minorHAnsi"/>
          <w:lang w:val="es-ES_tradnl"/>
        </w:rPr>
        <w:t xml:space="preserve">obtenidos </w:t>
      </w:r>
      <w:r w:rsidRPr="00755B91">
        <w:rPr>
          <w:rFonts w:cstheme="minorHAnsi"/>
          <w:lang w:val="es-ES_tradnl"/>
        </w:rPr>
        <w:t xml:space="preserve">comprueban que </w:t>
      </w:r>
      <w:r w:rsidR="00835397" w:rsidRPr="00755B91">
        <w:rPr>
          <w:rFonts w:cstheme="minorHAnsi"/>
          <w:lang w:val="es-ES_tradnl"/>
        </w:rPr>
        <w:t>las universidades más eficientes son la Universidad de Buenos Aires y la Universidad de Rosario</w:t>
      </w:r>
      <w:r w:rsidR="00350C7C" w:rsidRPr="00755B91">
        <w:rPr>
          <w:rFonts w:cstheme="minorHAnsi"/>
          <w:b/>
          <w:color w:val="0000FF"/>
          <w:lang w:val="es-ES_tradnl"/>
        </w:rPr>
        <w:t>,</w:t>
      </w:r>
      <w:r w:rsidR="00EF4BC9" w:rsidRPr="00755B91">
        <w:rPr>
          <w:rFonts w:cstheme="minorHAnsi"/>
          <w:lang w:val="es-ES_tradnl"/>
        </w:rPr>
        <w:t xml:space="preserve"> mientras que las universidades más ineficientes son las universidades de San Antonio de Areco, Rafaela, Avellaneda y Tierra del Fuego.</w:t>
      </w:r>
    </w:p>
    <w:p w14:paraId="78E020BA" w14:textId="5AD025B6" w:rsidR="002D131E" w:rsidRPr="00755B91" w:rsidRDefault="002D131E" w:rsidP="00755B91">
      <w:pPr>
        <w:spacing w:after="0" w:line="360" w:lineRule="auto"/>
        <w:jc w:val="both"/>
        <w:rPr>
          <w:rFonts w:cstheme="minorHAnsi"/>
        </w:rPr>
      </w:pPr>
    </w:p>
    <w:p w14:paraId="7E43A841" w14:textId="77777777" w:rsidR="00E306F6" w:rsidRPr="00755B91" w:rsidRDefault="00E306F6" w:rsidP="00755B91">
      <w:pPr>
        <w:spacing w:after="0" w:line="360" w:lineRule="auto"/>
        <w:jc w:val="both"/>
        <w:rPr>
          <w:rFonts w:cstheme="minorHAnsi"/>
        </w:rPr>
      </w:pPr>
    </w:p>
    <w:p w14:paraId="2FBA7F04" w14:textId="4F658D75" w:rsidR="003E0BE9" w:rsidRPr="00755B91" w:rsidRDefault="003E0BE9" w:rsidP="00755B91">
      <w:pPr>
        <w:spacing w:after="0" w:line="360" w:lineRule="auto"/>
        <w:jc w:val="both"/>
        <w:rPr>
          <w:rFonts w:cstheme="minorHAnsi"/>
          <w:b/>
          <w:lang w:val="en-US"/>
        </w:rPr>
      </w:pPr>
      <w:r w:rsidRPr="00755B91">
        <w:rPr>
          <w:rFonts w:cstheme="minorHAnsi"/>
          <w:b/>
          <w:lang w:val="en-US"/>
        </w:rPr>
        <w:lastRenderedPageBreak/>
        <w:t>Abstract</w:t>
      </w:r>
    </w:p>
    <w:p w14:paraId="20A79B04" w14:textId="77777777" w:rsidR="003E0BE9" w:rsidRPr="00755B91" w:rsidRDefault="003E0BE9" w:rsidP="00755B91">
      <w:pPr>
        <w:spacing w:after="0" w:line="360" w:lineRule="auto"/>
        <w:ind w:firstLine="567"/>
        <w:jc w:val="both"/>
        <w:rPr>
          <w:rFonts w:cstheme="minorHAnsi"/>
          <w:color w:val="000000" w:themeColor="text1"/>
          <w:lang w:val="en-US"/>
        </w:rPr>
      </w:pPr>
      <w:r w:rsidRPr="00755B91">
        <w:rPr>
          <w:rFonts w:cstheme="minorHAnsi"/>
          <w:color w:val="000000" w:themeColor="text1"/>
          <w:lang w:val="en-US"/>
        </w:rPr>
        <w:t>This article analyzes the efficiency of public investment in the “Personnel” item of the executed budget in Public Universities of Argentina in undergraduate and graduate careers, concerning to “graduates”.</w:t>
      </w:r>
    </w:p>
    <w:p w14:paraId="58F2A4C5" w14:textId="77777777" w:rsidR="003E0BE9" w:rsidRPr="00755B91" w:rsidRDefault="003E0BE9" w:rsidP="00755B91">
      <w:pPr>
        <w:spacing w:after="0" w:line="360" w:lineRule="auto"/>
        <w:ind w:firstLine="567"/>
        <w:jc w:val="both"/>
        <w:rPr>
          <w:rFonts w:cstheme="minorHAnsi"/>
          <w:color w:val="000000" w:themeColor="text1"/>
          <w:lang w:val="en-US"/>
        </w:rPr>
      </w:pPr>
      <w:r w:rsidRPr="00755B91">
        <w:rPr>
          <w:rFonts w:cstheme="minorHAnsi"/>
          <w:color w:val="000000" w:themeColor="text1"/>
          <w:lang w:val="en-US"/>
        </w:rPr>
        <w:t>The analysis of the “Personnel” item is prioritized because, according to empirical evidence, 80% of the executed budget of public universities is allocated to salaries and social charges of teaching personnel, authorities and university support and service personnel.</w:t>
      </w:r>
    </w:p>
    <w:p w14:paraId="6FA7FBDF" w14:textId="77777777" w:rsidR="003E0BE9" w:rsidRPr="00755B91" w:rsidRDefault="003E0BE9" w:rsidP="00755B91">
      <w:pPr>
        <w:spacing w:after="0" w:line="360" w:lineRule="auto"/>
        <w:ind w:firstLine="567"/>
        <w:jc w:val="both"/>
        <w:rPr>
          <w:rFonts w:cstheme="minorHAnsi"/>
          <w:color w:val="000000" w:themeColor="text1"/>
          <w:lang w:val="en-US"/>
        </w:rPr>
      </w:pPr>
      <w:r w:rsidRPr="00755B91">
        <w:rPr>
          <w:rFonts w:cstheme="minorHAnsi"/>
          <w:color w:val="000000" w:themeColor="text1"/>
          <w:lang w:val="en-US"/>
        </w:rPr>
        <w:t xml:space="preserve">To evaluate the efficiency of the </w:t>
      </w:r>
      <w:proofErr w:type="gramStart"/>
      <w:r w:rsidRPr="00755B91">
        <w:rPr>
          <w:rFonts w:cstheme="minorHAnsi"/>
          <w:color w:val="000000" w:themeColor="text1"/>
          <w:lang w:val="en-US"/>
        </w:rPr>
        <w:t>aforementioned budget</w:t>
      </w:r>
      <w:proofErr w:type="gramEnd"/>
      <w:r w:rsidRPr="00755B91">
        <w:rPr>
          <w:rFonts w:cstheme="minorHAnsi"/>
          <w:color w:val="000000" w:themeColor="text1"/>
          <w:lang w:val="en-US"/>
        </w:rPr>
        <w:t xml:space="preserve"> item, a population of 57 public management universities is initially analyzed, after which 5 universities have been excluded due to lack of information on some of the variables analyzed.</w:t>
      </w:r>
    </w:p>
    <w:p w14:paraId="1A767FD8" w14:textId="77777777" w:rsidR="003E0BE9" w:rsidRPr="00755B91" w:rsidRDefault="003E0BE9" w:rsidP="00755B91">
      <w:pPr>
        <w:spacing w:after="0" w:line="360" w:lineRule="auto"/>
        <w:ind w:firstLine="567"/>
        <w:jc w:val="both"/>
        <w:rPr>
          <w:rFonts w:cstheme="minorHAnsi"/>
          <w:color w:val="000000" w:themeColor="text1"/>
          <w:lang w:val="en-US"/>
        </w:rPr>
      </w:pPr>
      <w:r w:rsidRPr="00755B91">
        <w:rPr>
          <w:rFonts w:cstheme="minorHAnsi"/>
          <w:color w:val="000000" w:themeColor="text1"/>
          <w:lang w:val="en-US"/>
        </w:rPr>
        <w:t>For determining the efficiency index of each university, the Data Envelopment Analysis (DEA) methodology is applied.</w:t>
      </w:r>
    </w:p>
    <w:p w14:paraId="4F132F40" w14:textId="77777777" w:rsidR="003E0BE9" w:rsidRPr="00755B91" w:rsidRDefault="003E0BE9" w:rsidP="00755B91">
      <w:pPr>
        <w:spacing w:after="0" w:line="360" w:lineRule="auto"/>
        <w:ind w:firstLine="567"/>
        <w:jc w:val="both"/>
        <w:rPr>
          <w:rFonts w:cstheme="minorHAnsi"/>
          <w:color w:val="000000" w:themeColor="text1"/>
          <w:lang w:val="en-US"/>
        </w:rPr>
      </w:pPr>
      <w:r w:rsidRPr="00755B91">
        <w:rPr>
          <w:rFonts w:cstheme="minorHAnsi"/>
          <w:color w:val="000000" w:themeColor="text1"/>
          <w:lang w:val="en-US"/>
        </w:rPr>
        <w:t xml:space="preserve">The results demonstrate that the most efficient universities are the University of Buenos Aires and the University of Rosario, while the most inefficient universities are the universities of San Antonio de </w:t>
      </w:r>
      <w:proofErr w:type="spellStart"/>
      <w:r w:rsidRPr="00755B91">
        <w:rPr>
          <w:rFonts w:cstheme="minorHAnsi"/>
          <w:color w:val="000000" w:themeColor="text1"/>
          <w:lang w:val="en-US"/>
        </w:rPr>
        <w:t>Areco</w:t>
      </w:r>
      <w:proofErr w:type="spellEnd"/>
      <w:r w:rsidRPr="00755B91">
        <w:rPr>
          <w:rFonts w:cstheme="minorHAnsi"/>
          <w:color w:val="000000" w:themeColor="text1"/>
          <w:lang w:val="en-US"/>
        </w:rPr>
        <w:t xml:space="preserve">, Rafaela, </w:t>
      </w:r>
      <w:proofErr w:type="gramStart"/>
      <w:r w:rsidRPr="00755B91">
        <w:rPr>
          <w:rFonts w:cstheme="minorHAnsi"/>
          <w:color w:val="000000" w:themeColor="text1"/>
          <w:lang w:val="en-US"/>
        </w:rPr>
        <w:t>Avellaneda</w:t>
      </w:r>
      <w:proofErr w:type="gramEnd"/>
      <w:r w:rsidRPr="00755B91">
        <w:rPr>
          <w:rFonts w:cstheme="minorHAnsi"/>
          <w:color w:val="000000" w:themeColor="text1"/>
          <w:lang w:val="en-US"/>
        </w:rPr>
        <w:t xml:space="preserve"> and Tierra del Fuego.</w:t>
      </w:r>
    </w:p>
    <w:p w14:paraId="4954859E" w14:textId="077675F5" w:rsidR="0087118B" w:rsidRPr="00755B91" w:rsidRDefault="0087118B" w:rsidP="00755B91">
      <w:pPr>
        <w:spacing w:after="0" w:line="360" w:lineRule="auto"/>
        <w:jc w:val="both"/>
        <w:rPr>
          <w:rFonts w:cstheme="minorHAnsi"/>
          <w:b/>
          <w:lang w:val="en-US"/>
        </w:rPr>
      </w:pPr>
    </w:p>
    <w:p w14:paraId="6697DDC4" w14:textId="77777777" w:rsidR="003E0BE9" w:rsidRPr="00755B91" w:rsidRDefault="003E0BE9" w:rsidP="00755B91">
      <w:pPr>
        <w:spacing w:after="0" w:line="360" w:lineRule="auto"/>
        <w:jc w:val="both"/>
        <w:rPr>
          <w:rFonts w:cstheme="minorHAnsi"/>
          <w:b/>
          <w:lang w:val="en-US"/>
        </w:rPr>
      </w:pPr>
    </w:p>
    <w:p w14:paraId="4A96D697" w14:textId="32D6DD86" w:rsidR="00F60309" w:rsidRDefault="00262EDB" w:rsidP="00755B91">
      <w:pPr>
        <w:spacing w:after="0" w:line="360" w:lineRule="auto"/>
        <w:jc w:val="both"/>
        <w:rPr>
          <w:rFonts w:cstheme="minorHAnsi"/>
        </w:rPr>
      </w:pPr>
      <w:r w:rsidRPr="00755B91">
        <w:rPr>
          <w:rFonts w:cstheme="minorHAnsi"/>
          <w:b/>
        </w:rPr>
        <w:t>Palabras claves:</w:t>
      </w:r>
      <w:r w:rsidRPr="00755B91">
        <w:rPr>
          <w:rFonts w:cstheme="minorHAnsi"/>
        </w:rPr>
        <w:t xml:space="preserve"> </w:t>
      </w:r>
      <w:r w:rsidR="00070B1C" w:rsidRPr="00755B91">
        <w:rPr>
          <w:rFonts w:cstheme="minorHAnsi"/>
        </w:rPr>
        <w:t xml:space="preserve">universidad pública, frontera de </w:t>
      </w:r>
      <w:r w:rsidRPr="00755B91">
        <w:rPr>
          <w:rFonts w:cstheme="minorHAnsi"/>
        </w:rPr>
        <w:t>eficiencia</w:t>
      </w:r>
      <w:r w:rsidR="005D4CD7" w:rsidRPr="00755B91">
        <w:rPr>
          <w:rFonts w:cstheme="minorHAnsi"/>
        </w:rPr>
        <w:t>,</w:t>
      </w:r>
      <w:r w:rsidRPr="00755B91">
        <w:rPr>
          <w:rFonts w:cstheme="minorHAnsi"/>
        </w:rPr>
        <w:t xml:space="preserve"> presupuesto </w:t>
      </w:r>
      <w:r w:rsidR="00070B1C" w:rsidRPr="00755B91">
        <w:rPr>
          <w:rFonts w:cstheme="minorHAnsi"/>
        </w:rPr>
        <w:t xml:space="preserve">de </w:t>
      </w:r>
      <w:r w:rsidRPr="00755B91">
        <w:rPr>
          <w:rFonts w:cstheme="minorHAnsi"/>
        </w:rPr>
        <w:t>personal</w:t>
      </w:r>
      <w:r w:rsidR="00070B1C" w:rsidRPr="00755B91">
        <w:rPr>
          <w:rFonts w:cstheme="minorHAnsi"/>
        </w:rPr>
        <w:t>,</w:t>
      </w:r>
      <w:r w:rsidRPr="00755B91">
        <w:rPr>
          <w:rFonts w:cstheme="minorHAnsi"/>
        </w:rPr>
        <w:t xml:space="preserve"> DEA</w:t>
      </w:r>
    </w:p>
    <w:p w14:paraId="77FD3E56" w14:textId="494D4F38" w:rsidR="00755B91" w:rsidRDefault="00755B91" w:rsidP="00755B91">
      <w:pPr>
        <w:spacing w:after="0" w:line="360" w:lineRule="auto"/>
        <w:jc w:val="both"/>
        <w:rPr>
          <w:rFonts w:cstheme="minorHAnsi"/>
        </w:rPr>
      </w:pPr>
    </w:p>
    <w:p w14:paraId="35E4F96D" w14:textId="77777777" w:rsidR="00755B91" w:rsidRPr="00755B91" w:rsidRDefault="00755B91" w:rsidP="00755B91">
      <w:pPr>
        <w:spacing w:after="0" w:line="360" w:lineRule="auto"/>
        <w:jc w:val="both"/>
        <w:rPr>
          <w:rFonts w:cstheme="minorHAnsi"/>
        </w:rPr>
      </w:pPr>
    </w:p>
    <w:p w14:paraId="734C8A3C" w14:textId="30DA26E8" w:rsidR="00891B35" w:rsidRPr="00755B91" w:rsidRDefault="00891B35" w:rsidP="00755B91">
      <w:pPr>
        <w:spacing w:after="0" w:line="360" w:lineRule="auto"/>
        <w:jc w:val="both"/>
        <w:rPr>
          <w:rFonts w:cstheme="minorHAnsi"/>
          <w:b/>
          <w:lang w:val="en-US"/>
        </w:rPr>
      </w:pPr>
      <w:r w:rsidRPr="00755B91">
        <w:rPr>
          <w:rFonts w:cstheme="minorHAnsi"/>
          <w:b/>
          <w:lang w:val="en-US"/>
        </w:rPr>
        <w:t>Keywords:</w:t>
      </w:r>
      <w:r w:rsidRPr="00755B91">
        <w:rPr>
          <w:rFonts w:cstheme="minorHAnsi"/>
          <w:lang w:val="en-US"/>
        </w:rPr>
        <w:t xml:space="preserve"> </w:t>
      </w:r>
      <w:r w:rsidR="00A05B2D" w:rsidRPr="00755B91">
        <w:rPr>
          <w:rFonts w:cstheme="minorHAnsi"/>
          <w:lang w:val="en-US"/>
        </w:rPr>
        <w:t>public university, efficiency frontier, personnel budget, DEA</w:t>
      </w:r>
    </w:p>
    <w:p w14:paraId="5A600D44" w14:textId="77777777" w:rsidR="00891B35" w:rsidRPr="00755B91" w:rsidRDefault="00891B35" w:rsidP="00755B91">
      <w:pPr>
        <w:spacing w:after="0" w:line="360" w:lineRule="auto"/>
        <w:jc w:val="both"/>
        <w:rPr>
          <w:rFonts w:cstheme="minorHAnsi"/>
          <w:b/>
        </w:rPr>
      </w:pPr>
    </w:p>
    <w:p w14:paraId="31E9D214" w14:textId="77777777" w:rsidR="00CC34E8" w:rsidRPr="00755B91" w:rsidRDefault="00CC34E8" w:rsidP="00755B91">
      <w:pPr>
        <w:spacing w:after="0" w:line="360" w:lineRule="auto"/>
        <w:jc w:val="both"/>
        <w:rPr>
          <w:rFonts w:cstheme="minorHAnsi"/>
          <w:b/>
        </w:rPr>
      </w:pPr>
    </w:p>
    <w:p w14:paraId="722D2413" w14:textId="77777777" w:rsidR="00863795" w:rsidRPr="00755B91" w:rsidRDefault="00863795" w:rsidP="00755B91">
      <w:pPr>
        <w:spacing w:after="0" w:line="360" w:lineRule="auto"/>
        <w:jc w:val="both"/>
        <w:rPr>
          <w:rFonts w:cstheme="minorHAnsi"/>
          <w:b/>
        </w:rPr>
      </w:pPr>
      <w:r w:rsidRPr="00755B91">
        <w:rPr>
          <w:rFonts w:cstheme="minorHAnsi"/>
          <w:b/>
        </w:rPr>
        <w:br w:type="page"/>
      </w:r>
    </w:p>
    <w:p w14:paraId="48CDF2CD" w14:textId="6F700DC3" w:rsidR="001F086D" w:rsidRPr="00755B91" w:rsidRDefault="003E0BE9" w:rsidP="00755B91">
      <w:pPr>
        <w:spacing w:after="0" w:line="360" w:lineRule="auto"/>
        <w:ind w:firstLine="284"/>
        <w:jc w:val="both"/>
        <w:rPr>
          <w:rFonts w:cstheme="minorHAnsi"/>
          <w:b/>
        </w:rPr>
      </w:pPr>
      <w:r w:rsidRPr="00755B91">
        <w:rPr>
          <w:rFonts w:cstheme="minorHAnsi"/>
          <w:b/>
        </w:rPr>
        <w:lastRenderedPageBreak/>
        <w:t>Introducción</w:t>
      </w:r>
    </w:p>
    <w:p w14:paraId="1FE86CBB" w14:textId="77777777" w:rsidR="003558D2" w:rsidRPr="00755B91" w:rsidRDefault="003558D2" w:rsidP="00755B91">
      <w:pPr>
        <w:spacing w:after="0" w:line="360" w:lineRule="auto"/>
        <w:ind w:firstLine="567"/>
        <w:jc w:val="both"/>
        <w:rPr>
          <w:rFonts w:cstheme="minorHAnsi"/>
        </w:rPr>
      </w:pPr>
      <w:r w:rsidRPr="00755B91">
        <w:rPr>
          <w:rFonts w:cstheme="minorHAnsi"/>
        </w:rPr>
        <w:t xml:space="preserve">Este trabajo tiene el propósito de evaluar la eficiencia </w:t>
      </w:r>
      <w:r w:rsidR="00350C7C" w:rsidRPr="00755B91">
        <w:rPr>
          <w:rFonts w:cstheme="minorHAnsi"/>
        </w:rPr>
        <w:t>de</w:t>
      </w:r>
      <w:r w:rsidR="00906F22" w:rsidRPr="00755B91">
        <w:rPr>
          <w:rFonts w:cstheme="minorHAnsi"/>
        </w:rPr>
        <w:t xml:space="preserve"> la inversión</w:t>
      </w:r>
      <w:r w:rsidR="00350C7C" w:rsidRPr="00755B91">
        <w:rPr>
          <w:rFonts w:cstheme="minorHAnsi"/>
        </w:rPr>
        <w:t xml:space="preserve"> </w:t>
      </w:r>
      <w:r w:rsidR="00906F22" w:rsidRPr="00755B91">
        <w:rPr>
          <w:rFonts w:cstheme="minorHAnsi"/>
        </w:rPr>
        <w:t xml:space="preserve">de </w:t>
      </w:r>
      <w:r w:rsidR="00350C7C" w:rsidRPr="00755B91">
        <w:rPr>
          <w:rFonts w:cstheme="minorHAnsi"/>
        </w:rPr>
        <w:t>los recursos del</w:t>
      </w:r>
      <w:r w:rsidRPr="00755B91">
        <w:rPr>
          <w:rFonts w:cstheme="minorHAnsi"/>
        </w:rPr>
        <w:t xml:space="preserve"> inciso “Personal” del presupuesto </w:t>
      </w:r>
      <w:r w:rsidR="00420971" w:rsidRPr="00755B91">
        <w:rPr>
          <w:rFonts w:cstheme="minorHAnsi"/>
        </w:rPr>
        <w:t>ejecutado</w:t>
      </w:r>
      <w:r w:rsidRPr="00755B91">
        <w:rPr>
          <w:rFonts w:cstheme="minorHAnsi"/>
        </w:rPr>
        <w:t xml:space="preserve"> </w:t>
      </w:r>
      <w:r w:rsidR="00420971" w:rsidRPr="00755B91">
        <w:rPr>
          <w:rFonts w:cstheme="minorHAnsi"/>
        </w:rPr>
        <w:t>de</w:t>
      </w:r>
      <w:r w:rsidRPr="00755B91">
        <w:rPr>
          <w:rFonts w:cstheme="minorHAnsi"/>
        </w:rPr>
        <w:t xml:space="preserve"> las universidades</w:t>
      </w:r>
      <w:r w:rsidR="00350C7C" w:rsidRPr="00755B91">
        <w:rPr>
          <w:rFonts w:cstheme="minorHAnsi"/>
        </w:rPr>
        <w:t>,</w:t>
      </w:r>
      <w:r w:rsidRPr="00755B91">
        <w:rPr>
          <w:rFonts w:cstheme="minorHAnsi"/>
        </w:rPr>
        <w:t xml:space="preserve"> </w:t>
      </w:r>
      <w:r w:rsidR="00420971" w:rsidRPr="00755B91">
        <w:rPr>
          <w:rFonts w:cstheme="minorHAnsi"/>
        </w:rPr>
        <w:t>en</w:t>
      </w:r>
      <w:r w:rsidRPr="00755B91">
        <w:rPr>
          <w:rFonts w:cstheme="minorHAnsi"/>
        </w:rPr>
        <w:t xml:space="preserve"> carreras de pregrado y grado del Sistema Universitario Público de Argentina</w:t>
      </w:r>
      <w:r w:rsidR="00350C7C" w:rsidRPr="00755B91">
        <w:rPr>
          <w:rFonts w:cstheme="minorHAnsi"/>
        </w:rPr>
        <w:t>,</w:t>
      </w:r>
      <w:r w:rsidRPr="00755B91">
        <w:rPr>
          <w:rFonts w:cstheme="minorHAnsi"/>
        </w:rPr>
        <w:t xml:space="preserve"> </w:t>
      </w:r>
      <w:r w:rsidR="00CD4184" w:rsidRPr="00755B91">
        <w:rPr>
          <w:rFonts w:cstheme="minorHAnsi"/>
        </w:rPr>
        <w:t xml:space="preserve">desde un estudio </w:t>
      </w:r>
      <w:r w:rsidR="00A13DB8" w:rsidRPr="00755B91">
        <w:rPr>
          <w:rFonts w:cstheme="minorHAnsi"/>
        </w:rPr>
        <w:t xml:space="preserve">de tipo </w:t>
      </w:r>
      <w:r w:rsidR="00CD4184" w:rsidRPr="00755B91">
        <w:rPr>
          <w:rFonts w:cstheme="minorHAnsi"/>
        </w:rPr>
        <w:t xml:space="preserve">transversal </w:t>
      </w:r>
      <w:r w:rsidR="00906F22" w:rsidRPr="00755B91">
        <w:rPr>
          <w:rFonts w:cstheme="minorHAnsi"/>
        </w:rPr>
        <w:t>referido al</w:t>
      </w:r>
      <w:r w:rsidRPr="00755B91">
        <w:rPr>
          <w:rFonts w:cstheme="minorHAnsi"/>
        </w:rPr>
        <w:t xml:space="preserve"> año 201</w:t>
      </w:r>
      <w:r w:rsidR="00420971" w:rsidRPr="00755B91">
        <w:rPr>
          <w:rFonts w:cstheme="minorHAnsi"/>
        </w:rPr>
        <w:t>8</w:t>
      </w:r>
      <w:r w:rsidRPr="00755B91">
        <w:rPr>
          <w:rFonts w:cstheme="minorHAnsi"/>
        </w:rPr>
        <w:t>.</w:t>
      </w:r>
    </w:p>
    <w:p w14:paraId="329FF5A3" w14:textId="7CC69CBA" w:rsidR="00F30CA9" w:rsidRPr="00755B91" w:rsidRDefault="00906F22" w:rsidP="00755B91">
      <w:pPr>
        <w:spacing w:after="0" w:line="360" w:lineRule="auto"/>
        <w:ind w:firstLine="567"/>
        <w:jc w:val="both"/>
        <w:rPr>
          <w:rFonts w:cstheme="minorHAnsi"/>
        </w:rPr>
      </w:pPr>
      <w:r w:rsidRPr="00755B91">
        <w:rPr>
          <w:rFonts w:cstheme="minorHAnsi"/>
        </w:rPr>
        <w:t>Si al término “i</w:t>
      </w:r>
      <w:r w:rsidR="00401F29" w:rsidRPr="00755B91">
        <w:rPr>
          <w:rFonts w:cstheme="minorHAnsi"/>
        </w:rPr>
        <w:t xml:space="preserve">nversión” se le añade el calificativo de “pública”, se está precisando que el dinero proviene de las arcas del Estado para financiar una organización como </w:t>
      </w:r>
      <w:r w:rsidR="007F0181" w:rsidRPr="00755B91">
        <w:rPr>
          <w:rFonts w:cstheme="minorHAnsi"/>
        </w:rPr>
        <w:t>la</w:t>
      </w:r>
      <w:r w:rsidR="00401F29" w:rsidRPr="00755B91">
        <w:rPr>
          <w:rFonts w:cstheme="minorHAnsi"/>
        </w:rPr>
        <w:t xml:space="preserve"> universidad del Sistema Universitario Público, cuya finalidad es que dicha inversión</w:t>
      </w:r>
      <w:r w:rsidR="00876F72" w:rsidRPr="00755B91">
        <w:rPr>
          <w:rFonts w:cstheme="minorHAnsi"/>
        </w:rPr>
        <w:t xml:space="preserve"> </w:t>
      </w:r>
      <w:r w:rsidR="00401F29" w:rsidRPr="00755B91">
        <w:rPr>
          <w:rFonts w:cstheme="minorHAnsi"/>
        </w:rPr>
        <w:t>regrese a</w:t>
      </w:r>
      <w:r w:rsidR="0033563D" w:rsidRPr="00755B91">
        <w:rPr>
          <w:rFonts w:cstheme="minorHAnsi"/>
        </w:rPr>
        <w:t>l</w:t>
      </w:r>
      <w:r w:rsidR="00401F29" w:rsidRPr="00755B91">
        <w:rPr>
          <w:rFonts w:cstheme="minorHAnsi"/>
        </w:rPr>
        <w:t xml:space="preserve"> Estado como un beneficio social sinérgico.</w:t>
      </w:r>
      <w:r w:rsidR="00F30CA9" w:rsidRPr="00755B91">
        <w:rPr>
          <w:rFonts w:cstheme="minorHAnsi"/>
        </w:rPr>
        <w:t xml:space="preserve"> </w:t>
      </w:r>
      <w:r w:rsidR="00755B91" w:rsidRPr="00755B91">
        <w:rPr>
          <w:rFonts w:cstheme="minorHAnsi"/>
        </w:rPr>
        <w:t>En relación con</w:t>
      </w:r>
      <w:r w:rsidR="00401F29" w:rsidRPr="00755B91">
        <w:rPr>
          <w:rFonts w:cstheme="minorHAnsi"/>
        </w:rPr>
        <w:t xml:space="preserve"> la inversión pública en educación superior, se reconoce que los beneficios públicos y privados que generan los resultados de esta inv</w:t>
      </w:r>
      <w:r w:rsidR="0062455D" w:rsidRPr="00755B91">
        <w:rPr>
          <w:rFonts w:cstheme="minorHAnsi"/>
        </w:rPr>
        <w:t>ersión son ampliamente diversos</w:t>
      </w:r>
      <w:r w:rsidR="00832F19" w:rsidRPr="00755B91">
        <w:rPr>
          <w:rFonts w:cstheme="minorHAnsi"/>
        </w:rPr>
        <w:t>.</w:t>
      </w:r>
      <w:r w:rsidR="0062455D" w:rsidRPr="00755B91">
        <w:rPr>
          <w:rFonts w:cstheme="minorHAnsi"/>
        </w:rPr>
        <w:t xml:space="preserve"> </w:t>
      </w:r>
    </w:p>
    <w:p w14:paraId="3D9F2E6E" w14:textId="77777777" w:rsidR="00401F29" w:rsidRPr="00755B91" w:rsidRDefault="0094435C" w:rsidP="00755B91">
      <w:pPr>
        <w:spacing w:after="0" w:line="360" w:lineRule="auto"/>
        <w:ind w:firstLine="567"/>
        <w:jc w:val="both"/>
        <w:rPr>
          <w:rFonts w:cstheme="minorHAnsi"/>
        </w:rPr>
      </w:pPr>
      <w:r w:rsidRPr="00755B91">
        <w:rPr>
          <w:rFonts w:cstheme="minorHAnsi"/>
        </w:rPr>
        <w:t>E</w:t>
      </w:r>
      <w:r w:rsidR="00401F29" w:rsidRPr="00755B91">
        <w:rPr>
          <w:rFonts w:cstheme="minorHAnsi"/>
        </w:rPr>
        <w:t>n el caso de esta investigación</w:t>
      </w:r>
      <w:r w:rsidR="00906F22" w:rsidRPr="00755B91">
        <w:rPr>
          <w:rFonts w:cstheme="minorHAnsi"/>
        </w:rPr>
        <w:t>,</w:t>
      </w:r>
      <w:r w:rsidR="00401F29" w:rsidRPr="00755B91">
        <w:rPr>
          <w:rFonts w:cstheme="minorHAnsi"/>
        </w:rPr>
        <w:t xml:space="preserve"> se pretende medir</w:t>
      </w:r>
      <w:r w:rsidRPr="00755B91">
        <w:rPr>
          <w:rFonts w:cstheme="minorHAnsi"/>
        </w:rPr>
        <w:t xml:space="preserve"> resultados</w:t>
      </w:r>
      <w:r w:rsidR="00401F29" w:rsidRPr="00755B91">
        <w:rPr>
          <w:rFonts w:cstheme="minorHAnsi"/>
        </w:rPr>
        <w:t xml:space="preserve"> </w:t>
      </w:r>
      <w:r w:rsidR="00A17BF5" w:rsidRPr="00755B91">
        <w:rPr>
          <w:rFonts w:cstheme="minorHAnsi"/>
        </w:rPr>
        <w:t>a partir de</w:t>
      </w:r>
      <w:r w:rsidR="00401F29" w:rsidRPr="00755B91">
        <w:rPr>
          <w:rFonts w:cstheme="minorHAnsi"/>
        </w:rPr>
        <w:t xml:space="preserve"> la dimensión de la matrícula de estudiantes</w:t>
      </w:r>
      <w:r w:rsidR="00A17BF5" w:rsidRPr="00755B91">
        <w:rPr>
          <w:rFonts w:cstheme="minorHAnsi"/>
        </w:rPr>
        <w:t>,</w:t>
      </w:r>
      <w:r w:rsidR="00401F29" w:rsidRPr="00755B91">
        <w:rPr>
          <w:rFonts w:cstheme="minorHAnsi"/>
        </w:rPr>
        <w:t xml:space="preserve"> la cantidad de egresados</w:t>
      </w:r>
      <w:r w:rsidR="00A17BF5" w:rsidRPr="00755B91">
        <w:rPr>
          <w:rFonts w:cstheme="minorHAnsi"/>
        </w:rPr>
        <w:t xml:space="preserve"> y el presupuesto </w:t>
      </w:r>
      <w:r w:rsidR="001A0681" w:rsidRPr="00755B91">
        <w:rPr>
          <w:rFonts w:cstheme="minorHAnsi"/>
        </w:rPr>
        <w:t>ejecutado</w:t>
      </w:r>
      <w:r w:rsidR="0033563D" w:rsidRPr="00755B91">
        <w:rPr>
          <w:rFonts w:cstheme="minorHAnsi"/>
        </w:rPr>
        <w:t xml:space="preserve"> </w:t>
      </w:r>
      <w:r w:rsidR="00350C7C" w:rsidRPr="00755B91">
        <w:rPr>
          <w:rFonts w:cstheme="minorHAnsi"/>
        </w:rPr>
        <w:t>del</w:t>
      </w:r>
      <w:r w:rsidR="0074511A" w:rsidRPr="00755B91">
        <w:rPr>
          <w:rFonts w:cstheme="minorHAnsi"/>
        </w:rPr>
        <w:t xml:space="preserve"> inciso</w:t>
      </w:r>
      <w:r w:rsidR="00A17BF5" w:rsidRPr="00755B91">
        <w:rPr>
          <w:rFonts w:cstheme="minorHAnsi"/>
        </w:rPr>
        <w:t xml:space="preserve"> </w:t>
      </w:r>
      <w:r w:rsidR="0074511A" w:rsidRPr="00755B91">
        <w:rPr>
          <w:rFonts w:cstheme="minorHAnsi"/>
        </w:rPr>
        <w:t>“P</w:t>
      </w:r>
      <w:r w:rsidR="00A17BF5" w:rsidRPr="00755B91">
        <w:rPr>
          <w:rFonts w:cstheme="minorHAnsi"/>
        </w:rPr>
        <w:t>ersonal</w:t>
      </w:r>
      <w:r w:rsidR="0074511A" w:rsidRPr="00755B91">
        <w:rPr>
          <w:rFonts w:cstheme="minorHAnsi"/>
        </w:rPr>
        <w:t>”</w:t>
      </w:r>
      <w:r w:rsidR="00401F29" w:rsidRPr="00755B91">
        <w:rPr>
          <w:rFonts w:cstheme="minorHAnsi"/>
        </w:rPr>
        <w:t>.</w:t>
      </w:r>
    </w:p>
    <w:p w14:paraId="1EC4FEFD" w14:textId="77777777" w:rsidR="004C32FD" w:rsidRPr="00755B91" w:rsidRDefault="00C12B5D" w:rsidP="00755B91">
      <w:pPr>
        <w:spacing w:after="0" w:line="360" w:lineRule="auto"/>
        <w:ind w:firstLine="567"/>
        <w:jc w:val="both"/>
        <w:rPr>
          <w:rFonts w:cstheme="minorHAnsi"/>
          <w:b/>
          <w:i/>
        </w:rPr>
      </w:pPr>
      <w:r w:rsidRPr="00755B91">
        <w:rPr>
          <w:rFonts w:cstheme="minorHAnsi"/>
        </w:rPr>
        <w:t>La importancia de analizar</w:t>
      </w:r>
      <w:r w:rsidR="004C32FD" w:rsidRPr="00755B91">
        <w:rPr>
          <w:rFonts w:cstheme="minorHAnsi"/>
        </w:rPr>
        <w:t xml:space="preserve"> la partida “Personal” </w:t>
      </w:r>
      <w:r w:rsidRPr="00755B91">
        <w:rPr>
          <w:rFonts w:cstheme="minorHAnsi"/>
        </w:rPr>
        <w:t>se debe a</w:t>
      </w:r>
      <w:r w:rsidR="0062455D" w:rsidRPr="00755B91">
        <w:rPr>
          <w:rFonts w:cstheme="minorHAnsi"/>
        </w:rPr>
        <w:t xml:space="preserve"> </w:t>
      </w:r>
      <w:r w:rsidRPr="00755B91">
        <w:rPr>
          <w:rFonts w:cstheme="minorHAnsi"/>
        </w:rPr>
        <w:t xml:space="preserve">que </w:t>
      </w:r>
      <w:r w:rsidR="00350C7C" w:rsidRPr="00755B91">
        <w:rPr>
          <w:rFonts w:cstheme="minorHAnsi"/>
        </w:rPr>
        <w:t>un</w:t>
      </w:r>
      <w:r w:rsidR="004C32FD" w:rsidRPr="00755B91">
        <w:rPr>
          <w:rFonts w:cstheme="minorHAnsi"/>
        </w:rPr>
        <w:t xml:space="preserve"> 80% del presupuesto de la universidad pública se destina </w:t>
      </w:r>
      <w:r w:rsidRPr="00755B91">
        <w:rPr>
          <w:rFonts w:cstheme="minorHAnsi"/>
        </w:rPr>
        <w:t xml:space="preserve">a </w:t>
      </w:r>
      <w:r w:rsidR="004C32FD" w:rsidRPr="00755B91">
        <w:rPr>
          <w:rFonts w:cstheme="minorHAnsi"/>
        </w:rPr>
        <w:t xml:space="preserve">salarios </w:t>
      </w:r>
      <w:r w:rsidR="00B95B69" w:rsidRPr="00755B91">
        <w:rPr>
          <w:rFonts w:cstheme="minorHAnsi"/>
        </w:rPr>
        <w:t xml:space="preserve">y cargas sociales </w:t>
      </w:r>
      <w:r w:rsidR="004C32FD" w:rsidRPr="00755B91">
        <w:rPr>
          <w:rFonts w:cstheme="minorHAnsi"/>
        </w:rPr>
        <w:t>de personal docente y no docente. Durante el año 201</w:t>
      </w:r>
      <w:r w:rsidR="0017747C" w:rsidRPr="00755B91">
        <w:rPr>
          <w:rFonts w:cstheme="minorHAnsi"/>
        </w:rPr>
        <w:t>8</w:t>
      </w:r>
      <w:r w:rsidR="004C32FD" w:rsidRPr="00755B91">
        <w:rPr>
          <w:rFonts w:cstheme="minorHAnsi"/>
        </w:rPr>
        <w:t xml:space="preserve"> la ejecución presupuestaria en </w:t>
      </w:r>
      <w:r w:rsidR="00DF4F9B" w:rsidRPr="00755B91">
        <w:rPr>
          <w:rFonts w:cstheme="minorHAnsi"/>
        </w:rPr>
        <w:t>la partida “P</w:t>
      </w:r>
      <w:r w:rsidR="004C32FD" w:rsidRPr="00755B91">
        <w:rPr>
          <w:rFonts w:cstheme="minorHAnsi"/>
        </w:rPr>
        <w:t>ersonal</w:t>
      </w:r>
      <w:r w:rsidR="00DF4F9B" w:rsidRPr="00755B91">
        <w:rPr>
          <w:rFonts w:cstheme="minorHAnsi"/>
        </w:rPr>
        <w:t>”</w:t>
      </w:r>
      <w:r w:rsidR="004C32FD" w:rsidRPr="00755B91">
        <w:rPr>
          <w:rFonts w:cstheme="minorHAnsi"/>
        </w:rPr>
        <w:t xml:space="preserve"> representó </w:t>
      </w:r>
      <w:r w:rsidR="006F5742" w:rsidRPr="00755B91">
        <w:rPr>
          <w:rFonts w:cstheme="minorHAnsi"/>
        </w:rPr>
        <w:t xml:space="preserve">el </w:t>
      </w:r>
      <w:r w:rsidR="004C32FD" w:rsidRPr="00755B91">
        <w:rPr>
          <w:rFonts w:cstheme="minorHAnsi"/>
        </w:rPr>
        <w:t>7</w:t>
      </w:r>
      <w:r w:rsidR="008011D5" w:rsidRPr="00755B91">
        <w:rPr>
          <w:rFonts w:cstheme="minorHAnsi"/>
        </w:rPr>
        <w:t>7</w:t>
      </w:r>
      <w:r w:rsidR="004C32FD" w:rsidRPr="00755B91">
        <w:rPr>
          <w:rFonts w:cstheme="minorHAnsi"/>
        </w:rPr>
        <w:t>,</w:t>
      </w:r>
      <w:r w:rsidR="008011D5" w:rsidRPr="00755B91">
        <w:rPr>
          <w:rFonts w:cstheme="minorHAnsi"/>
        </w:rPr>
        <w:t>8</w:t>
      </w:r>
      <w:r w:rsidR="004C32FD" w:rsidRPr="00755B91">
        <w:rPr>
          <w:rFonts w:cstheme="minorHAnsi"/>
        </w:rPr>
        <w:t xml:space="preserve">4% del total del presupuesto ejecutado por las universidades públicas, según información suministrada por </w:t>
      </w:r>
      <w:r w:rsidR="00CD5DD3" w:rsidRPr="00755B91">
        <w:rPr>
          <w:rFonts w:cstheme="minorHAnsi"/>
        </w:rPr>
        <w:t xml:space="preserve">el Departamento de Información Universitaria de </w:t>
      </w:r>
      <w:r w:rsidR="004C32FD" w:rsidRPr="00755B91">
        <w:rPr>
          <w:rFonts w:cstheme="minorHAnsi"/>
        </w:rPr>
        <w:t xml:space="preserve">la </w:t>
      </w:r>
      <w:r w:rsidR="00741947" w:rsidRPr="00755B91">
        <w:rPr>
          <w:rFonts w:cstheme="minorHAnsi"/>
        </w:rPr>
        <w:t xml:space="preserve">Secretaría de Políticas Universitarias </w:t>
      </w:r>
      <w:r w:rsidR="00265DCD" w:rsidRPr="00755B91">
        <w:rPr>
          <w:rFonts w:cstheme="minorHAnsi"/>
        </w:rPr>
        <w:t>(</w:t>
      </w:r>
      <w:r w:rsidR="00E33994" w:rsidRPr="00755B91">
        <w:rPr>
          <w:rFonts w:cstheme="minorHAnsi"/>
        </w:rPr>
        <w:t>a</w:t>
      </w:r>
      <w:r w:rsidR="00265DCD" w:rsidRPr="00755B91">
        <w:rPr>
          <w:rFonts w:cstheme="minorHAnsi"/>
        </w:rPr>
        <w:t>ño 201</w:t>
      </w:r>
      <w:r w:rsidR="003B13B8" w:rsidRPr="00755B91">
        <w:rPr>
          <w:rFonts w:cstheme="minorHAnsi"/>
        </w:rPr>
        <w:t>8</w:t>
      </w:r>
      <w:r w:rsidR="00265DCD" w:rsidRPr="00755B91">
        <w:rPr>
          <w:rFonts w:cstheme="minorHAnsi"/>
        </w:rPr>
        <w:t>).</w:t>
      </w:r>
    </w:p>
    <w:p w14:paraId="0676FF43" w14:textId="1FBA0869" w:rsidR="00270470" w:rsidRPr="00755B91" w:rsidRDefault="00D65DC9" w:rsidP="00755B91">
      <w:pPr>
        <w:spacing w:after="0" w:line="360" w:lineRule="auto"/>
        <w:ind w:firstLine="567"/>
        <w:jc w:val="both"/>
        <w:rPr>
          <w:rFonts w:cstheme="minorHAnsi"/>
        </w:rPr>
      </w:pPr>
      <w:r w:rsidRPr="00755B91">
        <w:rPr>
          <w:rFonts w:cstheme="minorHAnsi"/>
        </w:rPr>
        <w:t xml:space="preserve">El procesamiento de la información presupuestaria del inciso “Personal” </w:t>
      </w:r>
      <w:r w:rsidR="0090127F" w:rsidRPr="00755B91">
        <w:rPr>
          <w:rFonts w:cstheme="minorHAnsi"/>
        </w:rPr>
        <w:t>se realiza</w:t>
      </w:r>
      <w:r w:rsidRPr="00755B91">
        <w:rPr>
          <w:rFonts w:cstheme="minorHAnsi"/>
        </w:rPr>
        <w:t xml:space="preserve"> </w:t>
      </w:r>
      <w:r w:rsidR="00155870" w:rsidRPr="00755B91">
        <w:rPr>
          <w:rFonts w:cstheme="minorHAnsi"/>
        </w:rPr>
        <w:t>mediante el</w:t>
      </w:r>
      <w:r w:rsidRPr="00755B91">
        <w:rPr>
          <w:rFonts w:cstheme="minorHAnsi"/>
        </w:rPr>
        <w:t xml:space="preserve"> análisis del presupuesto asignado a</w:t>
      </w:r>
      <w:r w:rsidR="00350C7C" w:rsidRPr="00755B91">
        <w:rPr>
          <w:rFonts w:cstheme="minorHAnsi"/>
        </w:rPr>
        <w:t xml:space="preserve"> cada una de las</w:t>
      </w:r>
      <w:r w:rsidRPr="00755B91">
        <w:rPr>
          <w:rFonts w:cstheme="minorHAnsi"/>
        </w:rPr>
        <w:t xml:space="preserve"> </w:t>
      </w:r>
      <w:r w:rsidR="008F18B3" w:rsidRPr="00755B91">
        <w:rPr>
          <w:rFonts w:cstheme="minorHAnsi"/>
        </w:rPr>
        <w:t>57</w:t>
      </w:r>
      <w:r w:rsidRPr="00755B91">
        <w:rPr>
          <w:rFonts w:cstheme="minorHAnsi"/>
        </w:rPr>
        <w:t xml:space="preserve"> universidades </w:t>
      </w:r>
      <w:r w:rsidR="008F18B3" w:rsidRPr="00755B91">
        <w:rPr>
          <w:rFonts w:cstheme="minorHAnsi"/>
        </w:rPr>
        <w:t>públicas</w:t>
      </w:r>
      <w:r w:rsidR="00ED35A9" w:rsidRPr="00755B91">
        <w:rPr>
          <w:rFonts w:cstheme="minorHAnsi"/>
        </w:rPr>
        <w:t xml:space="preserve"> del sistema universitario de gestión pública</w:t>
      </w:r>
      <w:r w:rsidR="008F18B3" w:rsidRPr="00755B91">
        <w:rPr>
          <w:rFonts w:cstheme="minorHAnsi"/>
        </w:rPr>
        <w:t xml:space="preserve">, habiéndose excluido </w:t>
      </w:r>
      <w:r w:rsidR="00350C7C" w:rsidRPr="00755B91">
        <w:rPr>
          <w:rFonts w:cstheme="minorHAnsi"/>
        </w:rPr>
        <w:t>de la investigación</w:t>
      </w:r>
      <w:r w:rsidR="00350C7C" w:rsidRPr="00755B91">
        <w:rPr>
          <w:rFonts w:cstheme="minorHAnsi"/>
          <w:b/>
        </w:rPr>
        <w:t xml:space="preserve"> </w:t>
      </w:r>
      <w:r w:rsidR="008F18B3" w:rsidRPr="00755B91">
        <w:rPr>
          <w:rFonts w:cstheme="minorHAnsi"/>
        </w:rPr>
        <w:t xml:space="preserve">las </w:t>
      </w:r>
      <w:r w:rsidR="00350C7C" w:rsidRPr="00755B91">
        <w:rPr>
          <w:rFonts w:cstheme="minorHAnsi"/>
        </w:rPr>
        <w:t xml:space="preserve">5 </w:t>
      </w:r>
      <w:r w:rsidR="008F18B3" w:rsidRPr="00755B91">
        <w:rPr>
          <w:rFonts w:cstheme="minorHAnsi"/>
        </w:rPr>
        <w:t>universidades</w:t>
      </w:r>
      <w:r w:rsidR="00350C7C" w:rsidRPr="00755B91">
        <w:rPr>
          <w:rFonts w:cstheme="minorHAnsi"/>
        </w:rPr>
        <w:t xml:space="preserve"> que se detallan en la Tab</w:t>
      </w:r>
      <w:r w:rsidR="00384F32" w:rsidRPr="00755B91">
        <w:rPr>
          <w:rFonts w:cstheme="minorHAnsi"/>
        </w:rPr>
        <w:t xml:space="preserve">la </w:t>
      </w:r>
      <w:r w:rsidR="00350C7C" w:rsidRPr="00755B91">
        <w:rPr>
          <w:rFonts w:cstheme="minorHAnsi"/>
        </w:rPr>
        <w:t xml:space="preserve">1, </w:t>
      </w:r>
      <w:r w:rsidR="00F856CD" w:rsidRPr="00755B91">
        <w:rPr>
          <w:rFonts w:cstheme="minorHAnsi"/>
        </w:rPr>
        <w:t>debido a</w:t>
      </w:r>
      <w:r w:rsidR="00350C7C" w:rsidRPr="00755B91">
        <w:rPr>
          <w:rFonts w:cstheme="minorHAnsi"/>
        </w:rPr>
        <w:t xml:space="preserve"> que no suministraron información sobre las variables que se evalúan en este estudio</w:t>
      </w:r>
      <w:r w:rsidR="008F18B3" w:rsidRPr="00755B91">
        <w:rPr>
          <w:rFonts w:cstheme="minorHAnsi"/>
        </w:rPr>
        <w:t>:</w:t>
      </w:r>
    </w:p>
    <w:tbl>
      <w:tblPr>
        <w:tblW w:w="0" w:type="auto"/>
        <w:jc w:val="center"/>
        <w:tblCellMar>
          <w:left w:w="70" w:type="dxa"/>
          <w:right w:w="70" w:type="dxa"/>
        </w:tblCellMar>
        <w:tblLook w:val="04A0" w:firstRow="1" w:lastRow="0" w:firstColumn="1" w:lastColumn="0" w:noHBand="0" w:noVBand="1"/>
      </w:tblPr>
      <w:tblGrid>
        <w:gridCol w:w="359"/>
        <w:gridCol w:w="1521"/>
        <w:gridCol w:w="4242"/>
      </w:tblGrid>
      <w:tr w:rsidR="00BD7EAE" w:rsidRPr="00755B91" w14:paraId="4A385EAB" w14:textId="77777777" w:rsidTr="00ED35A9">
        <w:trPr>
          <w:trHeight w:val="330"/>
          <w:jc w:val="center"/>
        </w:trPr>
        <w:tc>
          <w:tcPr>
            <w:tcW w:w="0" w:type="auto"/>
            <w:tcBorders>
              <w:top w:val="double" w:sz="6" w:space="0" w:color="auto"/>
              <w:left w:val="double" w:sz="6" w:space="0" w:color="auto"/>
              <w:bottom w:val="double" w:sz="6" w:space="0" w:color="auto"/>
              <w:right w:val="double" w:sz="6" w:space="0" w:color="auto"/>
            </w:tcBorders>
            <w:shd w:val="clear" w:color="auto" w:fill="00B0F0"/>
            <w:noWrap/>
            <w:vAlign w:val="bottom"/>
            <w:hideMark/>
          </w:tcPr>
          <w:p w14:paraId="31A28FF7" w14:textId="77777777" w:rsidR="00BD7EAE" w:rsidRPr="00FA384A" w:rsidRDefault="00BD7EAE" w:rsidP="00755B91">
            <w:pPr>
              <w:spacing w:after="0" w:line="360" w:lineRule="auto"/>
              <w:jc w:val="both"/>
              <w:rPr>
                <w:rFonts w:cstheme="minorHAnsi"/>
                <w:b/>
                <w:bCs/>
                <w:color w:val="000000"/>
                <w:sz w:val="20"/>
                <w:szCs w:val="20"/>
                <w:lang w:eastAsia="es-AR"/>
              </w:rPr>
            </w:pPr>
            <w:r w:rsidRPr="00FA384A">
              <w:rPr>
                <w:rFonts w:cstheme="minorHAnsi"/>
                <w:b/>
                <w:bCs/>
                <w:color w:val="000000"/>
                <w:sz w:val="20"/>
                <w:szCs w:val="20"/>
                <w:lang w:eastAsia="es-AR"/>
              </w:rPr>
              <w:t>Nº</w:t>
            </w:r>
          </w:p>
        </w:tc>
        <w:tc>
          <w:tcPr>
            <w:tcW w:w="0" w:type="auto"/>
            <w:tcBorders>
              <w:top w:val="double" w:sz="6" w:space="0" w:color="auto"/>
              <w:left w:val="double" w:sz="6" w:space="0" w:color="auto"/>
              <w:bottom w:val="double" w:sz="6" w:space="0" w:color="auto"/>
              <w:right w:val="double" w:sz="6" w:space="0" w:color="auto"/>
            </w:tcBorders>
            <w:shd w:val="clear" w:color="auto" w:fill="00B0F0"/>
            <w:noWrap/>
            <w:vAlign w:val="bottom"/>
            <w:hideMark/>
          </w:tcPr>
          <w:p w14:paraId="4479BCCA" w14:textId="77777777" w:rsidR="00BD7EAE" w:rsidRPr="00FA384A" w:rsidRDefault="00BD7EAE" w:rsidP="00755B91">
            <w:pPr>
              <w:spacing w:after="0" w:line="360" w:lineRule="auto"/>
              <w:jc w:val="both"/>
              <w:rPr>
                <w:rFonts w:cstheme="minorHAnsi"/>
                <w:b/>
                <w:bCs/>
                <w:color w:val="000000"/>
                <w:sz w:val="20"/>
                <w:szCs w:val="20"/>
                <w:lang w:eastAsia="es-AR"/>
              </w:rPr>
            </w:pPr>
            <w:r w:rsidRPr="00FA384A">
              <w:rPr>
                <w:rFonts w:cstheme="minorHAnsi"/>
                <w:b/>
                <w:bCs/>
                <w:color w:val="000000"/>
                <w:sz w:val="20"/>
                <w:szCs w:val="20"/>
                <w:lang w:eastAsia="es-AR"/>
              </w:rPr>
              <w:t>Universidad</w:t>
            </w:r>
          </w:p>
        </w:tc>
        <w:tc>
          <w:tcPr>
            <w:tcW w:w="0" w:type="auto"/>
            <w:tcBorders>
              <w:top w:val="double" w:sz="6" w:space="0" w:color="auto"/>
              <w:left w:val="double" w:sz="6" w:space="0" w:color="auto"/>
              <w:bottom w:val="double" w:sz="6" w:space="0" w:color="auto"/>
              <w:right w:val="double" w:sz="6" w:space="0" w:color="auto"/>
            </w:tcBorders>
            <w:shd w:val="clear" w:color="auto" w:fill="00B0F0"/>
            <w:noWrap/>
            <w:vAlign w:val="bottom"/>
            <w:hideMark/>
          </w:tcPr>
          <w:p w14:paraId="0D4C7BDC" w14:textId="77777777" w:rsidR="00BD7EAE" w:rsidRPr="00FA384A" w:rsidRDefault="00BD7EAE" w:rsidP="00755B91">
            <w:pPr>
              <w:spacing w:after="0" w:line="360" w:lineRule="auto"/>
              <w:jc w:val="both"/>
              <w:rPr>
                <w:rFonts w:cstheme="minorHAnsi"/>
                <w:b/>
                <w:bCs/>
                <w:color w:val="000000"/>
                <w:sz w:val="20"/>
                <w:szCs w:val="20"/>
                <w:lang w:eastAsia="es-AR"/>
              </w:rPr>
            </w:pPr>
            <w:r w:rsidRPr="00FA384A">
              <w:rPr>
                <w:rFonts w:cstheme="minorHAnsi"/>
                <w:b/>
                <w:bCs/>
                <w:color w:val="000000"/>
                <w:sz w:val="20"/>
                <w:szCs w:val="20"/>
                <w:lang w:eastAsia="es-AR"/>
              </w:rPr>
              <w:t>Motivo de exclusión</w:t>
            </w:r>
          </w:p>
        </w:tc>
      </w:tr>
      <w:tr w:rsidR="00BD7EAE" w:rsidRPr="00755B91" w14:paraId="6E4AD9BE" w14:textId="77777777" w:rsidTr="00C36CED">
        <w:trPr>
          <w:trHeight w:val="624"/>
          <w:jc w:val="center"/>
        </w:trPr>
        <w:tc>
          <w:tcPr>
            <w:tcW w:w="0" w:type="auto"/>
            <w:tcBorders>
              <w:top w:val="double" w:sz="6" w:space="0" w:color="auto"/>
              <w:left w:val="double" w:sz="6" w:space="0" w:color="auto"/>
              <w:bottom w:val="single" w:sz="4" w:space="0" w:color="auto"/>
              <w:right w:val="single" w:sz="4" w:space="0" w:color="auto"/>
            </w:tcBorders>
            <w:shd w:val="clear" w:color="000000" w:fill="auto"/>
            <w:noWrap/>
            <w:vAlign w:val="bottom"/>
            <w:hideMark/>
          </w:tcPr>
          <w:p w14:paraId="6F94A55A"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1</w:t>
            </w:r>
          </w:p>
        </w:tc>
        <w:tc>
          <w:tcPr>
            <w:tcW w:w="0" w:type="auto"/>
            <w:tcBorders>
              <w:top w:val="double" w:sz="6" w:space="0" w:color="auto"/>
              <w:left w:val="nil"/>
              <w:bottom w:val="single" w:sz="4" w:space="0" w:color="auto"/>
              <w:right w:val="single" w:sz="4" w:space="0" w:color="auto"/>
            </w:tcBorders>
            <w:shd w:val="clear" w:color="000000" w:fill="auto"/>
            <w:noWrap/>
            <w:vAlign w:val="bottom"/>
            <w:hideMark/>
          </w:tcPr>
          <w:p w14:paraId="349868BB"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Alto Uruguay</w:t>
            </w:r>
          </w:p>
        </w:tc>
        <w:tc>
          <w:tcPr>
            <w:tcW w:w="0" w:type="auto"/>
            <w:tcBorders>
              <w:top w:val="double" w:sz="6" w:space="0" w:color="auto"/>
              <w:left w:val="nil"/>
              <w:bottom w:val="single" w:sz="4" w:space="0" w:color="auto"/>
              <w:right w:val="double" w:sz="6" w:space="0" w:color="auto"/>
            </w:tcBorders>
            <w:shd w:val="clear" w:color="000000" w:fill="auto"/>
            <w:noWrap/>
            <w:vAlign w:val="bottom"/>
            <w:hideMark/>
          </w:tcPr>
          <w:p w14:paraId="55F68B4D"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No hay información sobre estudiantes y egresados</w:t>
            </w:r>
          </w:p>
        </w:tc>
      </w:tr>
      <w:tr w:rsidR="00BD7EAE" w:rsidRPr="00755B91" w14:paraId="5AF9C8C0" w14:textId="77777777" w:rsidTr="00C36CED">
        <w:trPr>
          <w:trHeight w:val="624"/>
          <w:jc w:val="center"/>
        </w:trPr>
        <w:tc>
          <w:tcPr>
            <w:tcW w:w="0" w:type="auto"/>
            <w:tcBorders>
              <w:top w:val="single" w:sz="4" w:space="0" w:color="auto"/>
              <w:left w:val="double" w:sz="6" w:space="0" w:color="auto"/>
              <w:bottom w:val="single" w:sz="4" w:space="0" w:color="auto"/>
              <w:right w:val="single" w:sz="4" w:space="0" w:color="auto"/>
            </w:tcBorders>
            <w:shd w:val="clear" w:color="000000" w:fill="auto"/>
            <w:noWrap/>
            <w:vAlign w:val="bottom"/>
            <w:hideMark/>
          </w:tcPr>
          <w:p w14:paraId="489046E2"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2</w:t>
            </w:r>
          </w:p>
        </w:tc>
        <w:tc>
          <w:tcPr>
            <w:tcW w:w="0" w:type="auto"/>
            <w:tcBorders>
              <w:top w:val="single" w:sz="4" w:space="0" w:color="auto"/>
              <w:left w:val="nil"/>
              <w:bottom w:val="single" w:sz="4" w:space="0" w:color="auto"/>
              <w:right w:val="single" w:sz="4" w:space="0" w:color="auto"/>
            </w:tcBorders>
            <w:shd w:val="clear" w:color="000000" w:fill="auto"/>
            <w:noWrap/>
            <w:vAlign w:val="bottom"/>
            <w:hideMark/>
          </w:tcPr>
          <w:p w14:paraId="61FC257D"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Comechingones</w:t>
            </w:r>
          </w:p>
        </w:tc>
        <w:tc>
          <w:tcPr>
            <w:tcW w:w="0" w:type="auto"/>
            <w:tcBorders>
              <w:top w:val="single" w:sz="4" w:space="0" w:color="auto"/>
              <w:left w:val="nil"/>
              <w:bottom w:val="single" w:sz="4" w:space="0" w:color="auto"/>
              <w:right w:val="double" w:sz="6" w:space="0" w:color="auto"/>
            </w:tcBorders>
            <w:shd w:val="clear" w:color="000000" w:fill="auto"/>
            <w:noWrap/>
            <w:vAlign w:val="bottom"/>
            <w:hideMark/>
          </w:tcPr>
          <w:p w14:paraId="21372100"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No hay información sobre estudiantes y egresados</w:t>
            </w:r>
          </w:p>
        </w:tc>
      </w:tr>
      <w:tr w:rsidR="00BD7EAE" w:rsidRPr="00755B91" w14:paraId="7BFF0BDA" w14:textId="77777777" w:rsidTr="00C36CED">
        <w:trPr>
          <w:trHeight w:val="624"/>
          <w:jc w:val="center"/>
        </w:trPr>
        <w:tc>
          <w:tcPr>
            <w:tcW w:w="0" w:type="auto"/>
            <w:tcBorders>
              <w:top w:val="single" w:sz="4" w:space="0" w:color="auto"/>
              <w:left w:val="double" w:sz="6" w:space="0" w:color="auto"/>
              <w:bottom w:val="single" w:sz="4" w:space="0" w:color="auto"/>
              <w:right w:val="single" w:sz="4" w:space="0" w:color="auto"/>
            </w:tcBorders>
            <w:shd w:val="clear" w:color="000000" w:fill="auto"/>
            <w:noWrap/>
            <w:vAlign w:val="bottom"/>
            <w:hideMark/>
          </w:tcPr>
          <w:p w14:paraId="3B976017"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3</w:t>
            </w:r>
          </w:p>
        </w:tc>
        <w:tc>
          <w:tcPr>
            <w:tcW w:w="0" w:type="auto"/>
            <w:tcBorders>
              <w:top w:val="single" w:sz="4" w:space="0" w:color="auto"/>
              <w:left w:val="nil"/>
              <w:bottom w:val="single" w:sz="4" w:space="0" w:color="auto"/>
              <w:right w:val="single" w:sz="4" w:space="0" w:color="auto"/>
            </w:tcBorders>
            <w:shd w:val="clear" w:color="000000" w:fill="auto"/>
            <w:noWrap/>
            <w:vAlign w:val="bottom"/>
            <w:hideMark/>
          </w:tcPr>
          <w:p w14:paraId="394E333D"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Defensa</w:t>
            </w:r>
          </w:p>
        </w:tc>
        <w:tc>
          <w:tcPr>
            <w:tcW w:w="0" w:type="auto"/>
            <w:tcBorders>
              <w:top w:val="single" w:sz="4" w:space="0" w:color="auto"/>
              <w:left w:val="nil"/>
              <w:bottom w:val="single" w:sz="4" w:space="0" w:color="auto"/>
              <w:right w:val="double" w:sz="6" w:space="0" w:color="auto"/>
            </w:tcBorders>
            <w:shd w:val="clear" w:color="000000" w:fill="auto"/>
            <w:noWrap/>
            <w:vAlign w:val="bottom"/>
            <w:hideMark/>
          </w:tcPr>
          <w:p w14:paraId="08107FAF"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No hay información sobre planta docente</w:t>
            </w:r>
          </w:p>
        </w:tc>
      </w:tr>
      <w:tr w:rsidR="00BD7EAE" w:rsidRPr="00755B91" w14:paraId="2483726F" w14:textId="77777777" w:rsidTr="00C36CED">
        <w:trPr>
          <w:trHeight w:val="624"/>
          <w:jc w:val="center"/>
        </w:trPr>
        <w:tc>
          <w:tcPr>
            <w:tcW w:w="0" w:type="auto"/>
            <w:tcBorders>
              <w:top w:val="single" w:sz="4" w:space="0" w:color="auto"/>
              <w:left w:val="double" w:sz="6" w:space="0" w:color="auto"/>
              <w:bottom w:val="single" w:sz="4" w:space="0" w:color="auto"/>
              <w:right w:val="single" w:sz="4" w:space="0" w:color="auto"/>
            </w:tcBorders>
            <w:shd w:val="clear" w:color="000000" w:fill="auto"/>
            <w:noWrap/>
            <w:vAlign w:val="bottom"/>
            <w:hideMark/>
          </w:tcPr>
          <w:p w14:paraId="02769BA4"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4</w:t>
            </w:r>
          </w:p>
        </w:tc>
        <w:tc>
          <w:tcPr>
            <w:tcW w:w="0" w:type="auto"/>
            <w:tcBorders>
              <w:top w:val="single" w:sz="4" w:space="0" w:color="auto"/>
              <w:left w:val="nil"/>
              <w:bottom w:val="single" w:sz="4" w:space="0" w:color="auto"/>
              <w:right w:val="single" w:sz="4" w:space="0" w:color="auto"/>
            </w:tcBorders>
            <w:shd w:val="clear" w:color="000000" w:fill="auto"/>
            <w:noWrap/>
            <w:vAlign w:val="bottom"/>
            <w:hideMark/>
          </w:tcPr>
          <w:p w14:paraId="1B3D965B"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Guillermo Brown</w:t>
            </w:r>
          </w:p>
        </w:tc>
        <w:tc>
          <w:tcPr>
            <w:tcW w:w="0" w:type="auto"/>
            <w:tcBorders>
              <w:top w:val="single" w:sz="4" w:space="0" w:color="auto"/>
              <w:left w:val="nil"/>
              <w:bottom w:val="single" w:sz="4" w:space="0" w:color="auto"/>
              <w:right w:val="double" w:sz="6" w:space="0" w:color="auto"/>
            </w:tcBorders>
            <w:shd w:val="clear" w:color="000000" w:fill="auto"/>
            <w:noWrap/>
            <w:vAlign w:val="bottom"/>
            <w:hideMark/>
          </w:tcPr>
          <w:p w14:paraId="24BDE83F"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No hay información sobre estudiantes y egresados</w:t>
            </w:r>
          </w:p>
        </w:tc>
      </w:tr>
      <w:tr w:rsidR="00BD7EAE" w:rsidRPr="00755B91" w14:paraId="5B3D5683" w14:textId="77777777" w:rsidTr="00C36CED">
        <w:trPr>
          <w:trHeight w:val="624"/>
          <w:jc w:val="center"/>
        </w:trPr>
        <w:tc>
          <w:tcPr>
            <w:tcW w:w="0" w:type="auto"/>
            <w:tcBorders>
              <w:top w:val="single" w:sz="4" w:space="0" w:color="auto"/>
              <w:left w:val="double" w:sz="6" w:space="0" w:color="auto"/>
              <w:bottom w:val="double" w:sz="6" w:space="0" w:color="auto"/>
              <w:right w:val="single" w:sz="4" w:space="0" w:color="auto"/>
            </w:tcBorders>
            <w:shd w:val="clear" w:color="000000" w:fill="auto"/>
            <w:noWrap/>
            <w:vAlign w:val="bottom"/>
            <w:hideMark/>
          </w:tcPr>
          <w:p w14:paraId="61C9D2FB" w14:textId="77777777" w:rsidR="00BD7EAE" w:rsidRPr="00FA384A" w:rsidRDefault="00F37573"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5</w:t>
            </w:r>
          </w:p>
        </w:tc>
        <w:tc>
          <w:tcPr>
            <w:tcW w:w="0" w:type="auto"/>
            <w:tcBorders>
              <w:top w:val="single" w:sz="4" w:space="0" w:color="auto"/>
              <w:left w:val="nil"/>
              <w:bottom w:val="double" w:sz="6" w:space="0" w:color="auto"/>
              <w:right w:val="single" w:sz="4" w:space="0" w:color="auto"/>
            </w:tcBorders>
            <w:shd w:val="clear" w:color="000000" w:fill="auto"/>
            <w:noWrap/>
            <w:vAlign w:val="bottom"/>
            <w:hideMark/>
          </w:tcPr>
          <w:p w14:paraId="16AFCC0A"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Scalabrini Ortiz</w:t>
            </w:r>
          </w:p>
        </w:tc>
        <w:tc>
          <w:tcPr>
            <w:tcW w:w="0" w:type="auto"/>
            <w:tcBorders>
              <w:top w:val="single" w:sz="4" w:space="0" w:color="auto"/>
              <w:left w:val="nil"/>
              <w:bottom w:val="double" w:sz="6" w:space="0" w:color="auto"/>
              <w:right w:val="double" w:sz="6" w:space="0" w:color="auto"/>
            </w:tcBorders>
            <w:shd w:val="clear" w:color="000000" w:fill="auto"/>
            <w:noWrap/>
            <w:vAlign w:val="bottom"/>
            <w:hideMark/>
          </w:tcPr>
          <w:p w14:paraId="713361D7" w14:textId="77777777" w:rsidR="00BD7EAE" w:rsidRPr="00FA384A" w:rsidRDefault="00BD7EAE" w:rsidP="00755B91">
            <w:pPr>
              <w:spacing w:after="0" w:line="360" w:lineRule="auto"/>
              <w:jc w:val="both"/>
              <w:rPr>
                <w:rFonts w:cstheme="minorHAnsi"/>
                <w:color w:val="000000"/>
                <w:sz w:val="20"/>
                <w:szCs w:val="20"/>
                <w:lang w:eastAsia="es-AR"/>
              </w:rPr>
            </w:pPr>
            <w:r w:rsidRPr="00FA384A">
              <w:rPr>
                <w:rFonts w:cstheme="minorHAnsi"/>
                <w:color w:val="000000"/>
                <w:sz w:val="20"/>
                <w:szCs w:val="20"/>
                <w:lang w:eastAsia="es-AR"/>
              </w:rPr>
              <w:t>No hay información sobre estudiantes y egresados</w:t>
            </w:r>
          </w:p>
        </w:tc>
      </w:tr>
    </w:tbl>
    <w:p w14:paraId="5E95F9D6" w14:textId="07D02F55" w:rsidR="00FD4C4C" w:rsidRPr="00FA384A" w:rsidRDefault="00B0230A" w:rsidP="00FA384A">
      <w:pPr>
        <w:spacing w:after="0" w:line="240" w:lineRule="auto"/>
        <w:jc w:val="both"/>
        <w:rPr>
          <w:rFonts w:cstheme="minorHAnsi"/>
          <w:bCs/>
          <w:sz w:val="20"/>
          <w:szCs w:val="20"/>
        </w:rPr>
      </w:pPr>
      <w:r w:rsidRPr="00FA384A">
        <w:rPr>
          <w:rFonts w:cstheme="minorHAnsi"/>
          <w:bCs/>
          <w:sz w:val="20"/>
          <w:szCs w:val="20"/>
        </w:rPr>
        <w:t>Tabla 1: Universidades excluidas del análisis</w:t>
      </w:r>
      <w:r w:rsidR="00FA384A">
        <w:rPr>
          <w:rFonts w:cstheme="minorHAnsi"/>
          <w:bCs/>
          <w:sz w:val="20"/>
          <w:szCs w:val="20"/>
        </w:rPr>
        <w:t xml:space="preserve">. </w:t>
      </w:r>
      <w:r w:rsidR="00350C7C" w:rsidRPr="00FA384A">
        <w:rPr>
          <w:rFonts w:cstheme="minorHAnsi"/>
          <w:bCs/>
          <w:sz w:val="20"/>
          <w:szCs w:val="20"/>
        </w:rPr>
        <w:t>Fuente: Elaboración propia</w:t>
      </w:r>
    </w:p>
    <w:p w14:paraId="3A9E7ACF" w14:textId="46F8BE8E" w:rsidR="00FD4C4C" w:rsidRDefault="00FD4C4C" w:rsidP="00755B91">
      <w:pPr>
        <w:spacing w:after="0" w:line="360" w:lineRule="auto"/>
        <w:jc w:val="both"/>
        <w:rPr>
          <w:rFonts w:cstheme="minorHAnsi"/>
          <w:b/>
          <w:color w:val="000000" w:themeColor="text1"/>
        </w:rPr>
      </w:pPr>
    </w:p>
    <w:p w14:paraId="4FB32D92" w14:textId="77777777" w:rsidR="00FA384A" w:rsidRPr="00755B91" w:rsidRDefault="00FA384A" w:rsidP="00755B91">
      <w:pPr>
        <w:spacing w:after="0" w:line="360" w:lineRule="auto"/>
        <w:jc w:val="both"/>
        <w:rPr>
          <w:rFonts w:cstheme="minorHAnsi"/>
          <w:b/>
          <w:color w:val="000000" w:themeColor="text1"/>
        </w:rPr>
      </w:pPr>
    </w:p>
    <w:p w14:paraId="6CDA1889" w14:textId="5995B008" w:rsidR="00B82BF7" w:rsidRPr="00755B91" w:rsidRDefault="00B0230A" w:rsidP="00FA384A">
      <w:pPr>
        <w:spacing w:after="0" w:line="360" w:lineRule="auto"/>
        <w:ind w:firstLine="284"/>
        <w:jc w:val="both"/>
        <w:rPr>
          <w:rFonts w:cstheme="minorHAnsi"/>
          <w:b/>
          <w:color w:val="000000" w:themeColor="text1"/>
        </w:rPr>
      </w:pPr>
      <w:r w:rsidRPr="00755B91">
        <w:rPr>
          <w:rFonts w:cstheme="minorHAnsi"/>
          <w:b/>
          <w:color w:val="000000" w:themeColor="text1"/>
        </w:rPr>
        <w:t>Marco teórico</w:t>
      </w:r>
    </w:p>
    <w:p w14:paraId="05EC2899" w14:textId="2DB12680" w:rsidR="00C77DDF" w:rsidRPr="00FA384A" w:rsidRDefault="00B0230A" w:rsidP="00FA384A">
      <w:pPr>
        <w:spacing w:after="0" w:line="360" w:lineRule="auto"/>
        <w:ind w:firstLine="567"/>
        <w:jc w:val="both"/>
        <w:rPr>
          <w:rFonts w:cstheme="minorHAnsi"/>
          <w:bCs/>
          <w:u w:val="single"/>
        </w:rPr>
      </w:pPr>
      <w:r w:rsidRPr="00FA384A">
        <w:rPr>
          <w:rFonts w:cstheme="minorHAnsi"/>
          <w:bCs/>
          <w:u w:val="single"/>
        </w:rPr>
        <w:t>Características del sistema universitario público de argentina</w:t>
      </w:r>
    </w:p>
    <w:p w14:paraId="4FDE2D8E" w14:textId="77777777" w:rsidR="00DB4D5D" w:rsidRPr="00755B91" w:rsidRDefault="00DB4D5D" w:rsidP="00FA384A">
      <w:pPr>
        <w:spacing w:after="0" w:line="360" w:lineRule="auto"/>
        <w:ind w:firstLine="567"/>
        <w:jc w:val="both"/>
        <w:rPr>
          <w:rFonts w:cstheme="minorHAnsi"/>
        </w:rPr>
      </w:pPr>
      <w:r w:rsidRPr="00755B91">
        <w:rPr>
          <w:rFonts w:cstheme="minorHAnsi"/>
        </w:rPr>
        <w:t xml:space="preserve">Hasta el inicio del nuevo período democrático de Argentina, habiendo finalizado los procesos de dictadura militar, y elegido democráticamente el presidente Raúl Alfonsín (diciembre de 1983), las </w:t>
      </w:r>
      <w:r w:rsidRPr="00755B91">
        <w:rPr>
          <w:rFonts w:cstheme="minorHAnsi"/>
        </w:rPr>
        <w:lastRenderedPageBreak/>
        <w:t>universidades públicas podían establecer cupos de ingreso como así también se permitía la fijación de aranceles universitarios.</w:t>
      </w:r>
    </w:p>
    <w:p w14:paraId="19866E5D" w14:textId="77777777" w:rsidR="00DB4D5D" w:rsidRPr="00755B91" w:rsidRDefault="00DB4D5D" w:rsidP="00FA384A">
      <w:pPr>
        <w:spacing w:after="0" w:line="360" w:lineRule="auto"/>
        <w:ind w:firstLine="567"/>
        <w:jc w:val="both"/>
        <w:rPr>
          <w:rFonts w:cstheme="minorHAnsi"/>
        </w:rPr>
      </w:pPr>
      <w:r w:rsidRPr="00755B91">
        <w:rPr>
          <w:rFonts w:cstheme="minorHAnsi"/>
        </w:rPr>
        <w:t>Desde el año 1984 hasta la actualidad, el sistema universitario público argentino se ha caracterizado por el ingreso irrestricto de los estudiantes, la gratuidad de la educación superior pública, una elevada tasa de deserción, una muy baja tasa de egresados, una larga duración promedio de años de graduación de los es</w:t>
      </w:r>
      <w:r w:rsidR="00B82BF7" w:rsidRPr="00755B91">
        <w:rPr>
          <w:rFonts w:cstheme="minorHAnsi"/>
        </w:rPr>
        <w:t>tudiantes y la concentración de la matrícula</w:t>
      </w:r>
      <w:r w:rsidRPr="00755B91">
        <w:rPr>
          <w:rFonts w:cstheme="minorHAnsi"/>
        </w:rPr>
        <w:t xml:space="preserve"> en las carreras clásicas o tradicionales vinculadas a las Ciencias Sociales.</w:t>
      </w:r>
    </w:p>
    <w:p w14:paraId="5544AE17" w14:textId="77777777" w:rsidR="00DB4D5D" w:rsidRPr="00755B91" w:rsidRDefault="00DB4D5D" w:rsidP="00FA384A">
      <w:pPr>
        <w:spacing w:after="0" w:line="360" w:lineRule="auto"/>
        <w:ind w:firstLine="567"/>
        <w:jc w:val="both"/>
        <w:rPr>
          <w:rFonts w:cstheme="minorHAnsi"/>
        </w:rPr>
      </w:pPr>
      <w:r w:rsidRPr="00755B91">
        <w:rPr>
          <w:rFonts w:cstheme="minorHAnsi"/>
        </w:rPr>
        <w:t xml:space="preserve">Estas características se </w:t>
      </w:r>
      <w:r w:rsidR="000E6D69" w:rsidRPr="00755B91">
        <w:rPr>
          <w:rFonts w:cstheme="minorHAnsi"/>
        </w:rPr>
        <w:t xml:space="preserve">profundizaron </w:t>
      </w:r>
      <w:r w:rsidRPr="00755B91">
        <w:rPr>
          <w:rFonts w:cstheme="minorHAnsi"/>
        </w:rPr>
        <w:t>cada vez más con los distintos gobier</w:t>
      </w:r>
      <w:r w:rsidR="00D1714F" w:rsidRPr="00755B91">
        <w:rPr>
          <w:rFonts w:cstheme="minorHAnsi"/>
        </w:rPr>
        <w:t>nos democráticos que siguieron al</w:t>
      </w:r>
      <w:r w:rsidRPr="00755B91">
        <w:rPr>
          <w:rFonts w:cstheme="minorHAnsi"/>
        </w:rPr>
        <w:t xml:space="preserve"> Presidente Raúl Alfonsín, en l</w:t>
      </w:r>
      <w:r w:rsidR="00665A2A" w:rsidRPr="00755B91">
        <w:rPr>
          <w:rFonts w:cstheme="minorHAnsi"/>
        </w:rPr>
        <w:t>os</w:t>
      </w:r>
      <w:r w:rsidRPr="00755B91">
        <w:rPr>
          <w:rFonts w:cstheme="minorHAnsi"/>
        </w:rPr>
        <w:t xml:space="preserve"> cual</w:t>
      </w:r>
      <w:r w:rsidR="00665A2A" w:rsidRPr="00755B91">
        <w:rPr>
          <w:rFonts w:cstheme="minorHAnsi"/>
        </w:rPr>
        <w:t>es</w:t>
      </w:r>
      <w:r w:rsidR="00D265BE" w:rsidRPr="00755B91">
        <w:rPr>
          <w:rFonts w:cstheme="minorHAnsi"/>
        </w:rPr>
        <w:t xml:space="preserve"> también </w:t>
      </w:r>
      <w:r w:rsidRPr="00755B91">
        <w:rPr>
          <w:rFonts w:cstheme="minorHAnsi"/>
        </w:rPr>
        <w:t>hubo un crecimiento</w:t>
      </w:r>
      <w:r w:rsidR="00AD1E7A" w:rsidRPr="00755B91">
        <w:rPr>
          <w:rFonts w:cstheme="minorHAnsi"/>
        </w:rPr>
        <w:t xml:space="preserve"> </w:t>
      </w:r>
      <w:r w:rsidRPr="00755B91">
        <w:rPr>
          <w:rFonts w:cstheme="minorHAnsi"/>
        </w:rPr>
        <w:t xml:space="preserve">significativo del presupuesto asignado a las universidades acompañado con la creación de nuevas universidades sin </w:t>
      </w:r>
      <w:r w:rsidR="00A17502" w:rsidRPr="00755B91">
        <w:rPr>
          <w:rFonts w:cstheme="minorHAnsi"/>
        </w:rPr>
        <w:t>ninguna orientación estratégica</w:t>
      </w:r>
      <w:r w:rsidR="00BA2676" w:rsidRPr="00755B91">
        <w:rPr>
          <w:rFonts w:cstheme="minorHAnsi"/>
        </w:rPr>
        <w:t xml:space="preserve"> para el país.</w:t>
      </w:r>
    </w:p>
    <w:p w14:paraId="46D78D0F" w14:textId="14C3A3B0" w:rsidR="00D91E4A" w:rsidRPr="00755B91" w:rsidRDefault="002B7875" w:rsidP="00FA384A">
      <w:pPr>
        <w:spacing w:after="0" w:line="360" w:lineRule="auto"/>
        <w:ind w:firstLine="567"/>
        <w:jc w:val="both"/>
        <w:rPr>
          <w:rFonts w:cstheme="minorHAnsi"/>
        </w:rPr>
      </w:pPr>
      <w:r w:rsidRPr="00755B91">
        <w:rPr>
          <w:rFonts w:cstheme="minorHAnsi"/>
        </w:rPr>
        <w:t>E</w:t>
      </w:r>
      <w:r w:rsidR="00BA2676" w:rsidRPr="00755B91">
        <w:rPr>
          <w:rFonts w:cstheme="minorHAnsi"/>
        </w:rPr>
        <w:t>l gasto público en e</w:t>
      </w:r>
      <w:r w:rsidRPr="00755B91">
        <w:rPr>
          <w:rFonts w:cstheme="minorHAnsi"/>
        </w:rPr>
        <w:t>ducación</w:t>
      </w:r>
      <w:r w:rsidR="00AE1E22" w:rsidRPr="00755B91">
        <w:rPr>
          <w:rFonts w:cstheme="minorHAnsi"/>
        </w:rPr>
        <w:t>,</w:t>
      </w:r>
      <w:r w:rsidRPr="00755B91">
        <w:rPr>
          <w:rFonts w:cstheme="minorHAnsi"/>
        </w:rPr>
        <w:t xml:space="preserve"> medido como porcentaje del PBI</w:t>
      </w:r>
      <w:r w:rsidR="00AE1E22" w:rsidRPr="00755B91">
        <w:rPr>
          <w:rFonts w:cstheme="minorHAnsi"/>
        </w:rPr>
        <w:t>,</w:t>
      </w:r>
      <w:r w:rsidRPr="00755B91">
        <w:rPr>
          <w:rFonts w:cstheme="minorHAnsi"/>
        </w:rPr>
        <w:t xml:space="preserve"> aumentó considerablemente durante el período comprendido entre los años 2003 y 2017, </w:t>
      </w:r>
      <w:proofErr w:type="gramStart"/>
      <w:r w:rsidRPr="00755B91">
        <w:rPr>
          <w:rFonts w:cstheme="minorHAnsi"/>
        </w:rPr>
        <w:t>de acuerdo a</w:t>
      </w:r>
      <w:proofErr w:type="gramEnd"/>
      <w:r w:rsidRPr="00755B91">
        <w:rPr>
          <w:rFonts w:cstheme="minorHAnsi"/>
        </w:rPr>
        <w:t xml:space="preserve"> lo que puede ob</w:t>
      </w:r>
      <w:r w:rsidR="00322BBB" w:rsidRPr="00755B91">
        <w:rPr>
          <w:rFonts w:cstheme="minorHAnsi"/>
        </w:rPr>
        <w:t xml:space="preserve">servarse en la </w:t>
      </w:r>
      <w:r w:rsidR="008B32AE" w:rsidRPr="00755B91">
        <w:rPr>
          <w:rFonts w:cstheme="minorHAnsi"/>
        </w:rPr>
        <w:t>T</w:t>
      </w:r>
      <w:r w:rsidR="00322BBB" w:rsidRPr="00755B91">
        <w:rPr>
          <w:rFonts w:cstheme="minorHAnsi"/>
        </w:rPr>
        <w:t>abla</w:t>
      </w:r>
      <w:r w:rsidR="00384F32" w:rsidRPr="00755B91">
        <w:rPr>
          <w:rFonts w:cstheme="minorHAnsi"/>
        </w:rPr>
        <w:t xml:space="preserve"> </w:t>
      </w:r>
      <w:r w:rsidR="00CB4EB1" w:rsidRPr="00755B91">
        <w:rPr>
          <w:rFonts w:cstheme="minorHAnsi"/>
        </w:rPr>
        <w:t>2</w:t>
      </w:r>
      <w:r w:rsidR="002A6E1E" w:rsidRPr="00755B91">
        <w:rPr>
          <w:rFonts w:cstheme="minorHAnsi"/>
        </w:rPr>
        <w:t>.</w:t>
      </w:r>
    </w:p>
    <w:tbl>
      <w:tblPr>
        <w:tblW w:w="0" w:type="auto"/>
        <w:jc w:val="center"/>
        <w:tblCellMar>
          <w:left w:w="70" w:type="dxa"/>
          <w:right w:w="70" w:type="dxa"/>
        </w:tblCellMar>
        <w:tblLook w:val="04A0" w:firstRow="1" w:lastRow="0" w:firstColumn="1" w:lastColumn="0" w:noHBand="0" w:noVBand="1"/>
      </w:tblPr>
      <w:tblGrid>
        <w:gridCol w:w="604"/>
        <w:gridCol w:w="604"/>
        <w:gridCol w:w="560"/>
        <w:gridCol w:w="725"/>
        <w:gridCol w:w="604"/>
        <w:gridCol w:w="604"/>
        <w:gridCol w:w="603"/>
        <w:gridCol w:w="603"/>
        <w:gridCol w:w="603"/>
        <w:gridCol w:w="603"/>
        <w:gridCol w:w="603"/>
        <w:gridCol w:w="603"/>
        <w:gridCol w:w="603"/>
        <w:gridCol w:w="603"/>
        <w:gridCol w:w="603"/>
      </w:tblGrid>
      <w:tr w:rsidR="00D95D3F" w:rsidRPr="00755B91" w14:paraId="6E457684" w14:textId="77777777" w:rsidTr="00FA384A">
        <w:trPr>
          <w:cantSplit/>
          <w:trHeight w:hRule="exact" w:val="1200"/>
          <w:jc w:val="center"/>
        </w:trPr>
        <w:tc>
          <w:tcPr>
            <w:tcW w:w="604" w:type="dxa"/>
            <w:tcBorders>
              <w:top w:val="single" w:sz="8" w:space="0" w:color="FFFFFF"/>
              <w:left w:val="single" w:sz="8" w:space="0" w:color="FFFFFF"/>
              <w:bottom w:val="single" w:sz="12" w:space="0" w:color="FFFFFF"/>
              <w:right w:val="single" w:sz="8" w:space="0" w:color="FFFFFF"/>
            </w:tcBorders>
            <w:shd w:val="clear" w:color="auto" w:fill="00B0F0"/>
            <w:textDirection w:val="btLr"/>
            <w:vAlign w:val="center"/>
            <w:hideMark/>
          </w:tcPr>
          <w:p w14:paraId="1B8943FB"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Período</w:t>
            </w:r>
          </w:p>
        </w:tc>
        <w:tc>
          <w:tcPr>
            <w:tcW w:w="604" w:type="dxa"/>
            <w:tcBorders>
              <w:top w:val="nil"/>
              <w:left w:val="nil"/>
              <w:bottom w:val="single" w:sz="8" w:space="0" w:color="FFFFFF"/>
              <w:right w:val="single" w:sz="8" w:space="0" w:color="FFFFFF"/>
            </w:tcBorders>
            <w:shd w:val="clear" w:color="000000" w:fill="CDE0E8"/>
            <w:textDirection w:val="btLr"/>
            <w:vAlign w:val="center"/>
            <w:hideMark/>
          </w:tcPr>
          <w:p w14:paraId="7C01B405"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2004</w:t>
            </w:r>
          </w:p>
        </w:tc>
        <w:tc>
          <w:tcPr>
            <w:tcW w:w="560" w:type="dxa"/>
            <w:tcBorders>
              <w:top w:val="nil"/>
              <w:left w:val="nil"/>
              <w:bottom w:val="single" w:sz="12" w:space="0" w:color="FFFFFF"/>
              <w:right w:val="single" w:sz="8" w:space="0" w:color="FFFFFF"/>
            </w:tcBorders>
            <w:shd w:val="clear" w:color="000000" w:fill="E8F0F4"/>
            <w:textDirection w:val="btLr"/>
            <w:vAlign w:val="center"/>
            <w:hideMark/>
          </w:tcPr>
          <w:p w14:paraId="68641ABA"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2005</w:t>
            </w:r>
          </w:p>
        </w:tc>
        <w:tc>
          <w:tcPr>
            <w:tcW w:w="725" w:type="dxa"/>
            <w:tcBorders>
              <w:top w:val="nil"/>
              <w:left w:val="nil"/>
              <w:bottom w:val="single" w:sz="8" w:space="0" w:color="FFFFFF"/>
              <w:right w:val="single" w:sz="8" w:space="0" w:color="FFFFFF"/>
            </w:tcBorders>
            <w:shd w:val="clear" w:color="000000" w:fill="CDE0E8"/>
            <w:textDirection w:val="btLr"/>
            <w:vAlign w:val="center"/>
            <w:hideMark/>
          </w:tcPr>
          <w:p w14:paraId="63623599"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2006</w:t>
            </w:r>
          </w:p>
        </w:tc>
        <w:tc>
          <w:tcPr>
            <w:tcW w:w="604" w:type="dxa"/>
            <w:tcBorders>
              <w:top w:val="nil"/>
              <w:left w:val="nil"/>
              <w:bottom w:val="single" w:sz="12" w:space="0" w:color="FFFFFF"/>
              <w:right w:val="single" w:sz="8" w:space="0" w:color="FFFFFF"/>
            </w:tcBorders>
            <w:shd w:val="clear" w:color="000000" w:fill="E8F0F4"/>
            <w:textDirection w:val="btLr"/>
            <w:vAlign w:val="center"/>
            <w:hideMark/>
          </w:tcPr>
          <w:p w14:paraId="49AF1B3A"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2007</w:t>
            </w:r>
          </w:p>
        </w:tc>
        <w:tc>
          <w:tcPr>
            <w:tcW w:w="604" w:type="dxa"/>
            <w:tcBorders>
              <w:top w:val="nil"/>
              <w:left w:val="nil"/>
              <w:bottom w:val="single" w:sz="12" w:space="0" w:color="FFFFFF"/>
              <w:right w:val="single" w:sz="8" w:space="0" w:color="FFFFFF"/>
            </w:tcBorders>
            <w:shd w:val="clear" w:color="000000" w:fill="CDE0E8"/>
            <w:textDirection w:val="btLr"/>
            <w:vAlign w:val="center"/>
            <w:hideMark/>
          </w:tcPr>
          <w:p w14:paraId="5DB46872"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2008</w:t>
            </w:r>
          </w:p>
        </w:tc>
        <w:tc>
          <w:tcPr>
            <w:tcW w:w="603" w:type="dxa"/>
            <w:tcBorders>
              <w:top w:val="nil"/>
              <w:left w:val="nil"/>
              <w:bottom w:val="single" w:sz="12" w:space="0" w:color="FFFFFF"/>
              <w:right w:val="single" w:sz="8" w:space="0" w:color="FFFFFF"/>
            </w:tcBorders>
            <w:shd w:val="clear" w:color="000000" w:fill="CDE0E8"/>
            <w:textDirection w:val="btLr"/>
            <w:vAlign w:val="center"/>
            <w:hideMark/>
          </w:tcPr>
          <w:p w14:paraId="6D17B83A"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2009</w:t>
            </w:r>
          </w:p>
        </w:tc>
        <w:tc>
          <w:tcPr>
            <w:tcW w:w="603" w:type="dxa"/>
            <w:tcBorders>
              <w:top w:val="nil"/>
              <w:left w:val="nil"/>
              <w:bottom w:val="single" w:sz="8" w:space="0" w:color="FFFFFF"/>
              <w:right w:val="single" w:sz="8" w:space="0" w:color="FFFFFF"/>
            </w:tcBorders>
            <w:shd w:val="clear" w:color="000000" w:fill="CDE0E8"/>
            <w:textDirection w:val="btLr"/>
            <w:vAlign w:val="center"/>
            <w:hideMark/>
          </w:tcPr>
          <w:p w14:paraId="4203689B"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2010</w:t>
            </w:r>
          </w:p>
        </w:tc>
        <w:tc>
          <w:tcPr>
            <w:tcW w:w="603" w:type="dxa"/>
            <w:tcBorders>
              <w:top w:val="nil"/>
              <w:left w:val="nil"/>
              <w:bottom w:val="single" w:sz="12" w:space="0" w:color="FFFFFF"/>
              <w:right w:val="single" w:sz="8" w:space="0" w:color="FFFFFF"/>
            </w:tcBorders>
            <w:shd w:val="clear" w:color="000000" w:fill="E8F0F4"/>
            <w:textDirection w:val="btLr"/>
            <w:vAlign w:val="center"/>
            <w:hideMark/>
          </w:tcPr>
          <w:p w14:paraId="17D0CC91"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2011</w:t>
            </w:r>
          </w:p>
        </w:tc>
        <w:tc>
          <w:tcPr>
            <w:tcW w:w="603" w:type="dxa"/>
            <w:tcBorders>
              <w:top w:val="nil"/>
              <w:left w:val="nil"/>
              <w:bottom w:val="single" w:sz="8" w:space="0" w:color="FFFFFF"/>
              <w:right w:val="single" w:sz="8" w:space="0" w:color="FFFFFF"/>
            </w:tcBorders>
            <w:shd w:val="clear" w:color="000000" w:fill="CDE0E8"/>
            <w:textDirection w:val="btLr"/>
            <w:vAlign w:val="center"/>
            <w:hideMark/>
          </w:tcPr>
          <w:p w14:paraId="40448A60"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2012</w:t>
            </w:r>
          </w:p>
        </w:tc>
        <w:tc>
          <w:tcPr>
            <w:tcW w:w="603" w:type="dxa"/>
            <w:tcBorders>
              <w:top w:val="nil"/>
              <w:left w:val="nil"/>
              <w:bottom w:val="single" w:sz="12" w:space="0" w:color="FFFFFF"/>
              <w:right w:val="single" w:sz="8" w:space="0" w:color="FFFFFF"/>
            </w:tcBorders>
            <w:shd w:val="clear" w:color="000000" w:fill="E8F0F4"/>
            <w:textDirection w:val="btLr"/>
            <w:vAlign w:val="center"/>
            <w:hideMark/>
          </w:tcPr>
          <w:p w14:paraId="207D6B74"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2013</w:t>
            </w:r>
          </w:p>
        </w:tc>
        <w:tc>
          <w:tcPr>
            <w:tcW w:w="603" w:type="dxa"/>
            <w:tcBorders>
              <w:top w:val="nil"/>
              <w:left w:val="nil"/>
              <w:bottom w:val="single" w:sz="8" w:space="0" w:color="FFFFFF"/>
              <w:right w:val="single" w:sz="8" w:space="0" w:color="FFFFFF"/>
            </w:tcBorders>
            <w:shd w:val="clear" w:color="000000" w:fill="CDE0E8"/>
            <w:textDirection w:val="btLr"/>
            <w:vAlign w:val="center"/>
            <w:hideMark/>
          </w:tcPr>
          <w:p w14:paraId="06900E2C"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2014</w:t>
            </w:r>
          </w:p>
        </w:tc>
        <w:tc>
          <w:tcPr>
            <w:tcW w:w="603" w:type="dxa"/>
            <w:tcBorders>
              <w:top w:val="nil"/>
              <w:left w:val="nil"/>
              <w:bottom w:val="single" w:sz="12" w:space="0" w:color="FFFFFF"/>
              <w:right w:val="single" w:sz="8" w:space="0" w:color="FFFFFF"/>
            </w:tcBorders>
            <w:shd w:val="clear" w:color="000000" w:fill="E8F0F4"/>
            <w:textDirection w:val="btLr"/>
            <w:vAlign w:val="center"/>
            <w:hideMark/>
          </w:tcPr>
          <w:p w14:paraId="5F7C56F8"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2015</w:t>
            </w:r>
          </w:p>
        </w:tc>
        <w:tc>
          <w:tcPr>
            <w:tcW w:w="603" w:type="dxa"/>
            <w:tcBorders>
              <w:top w:val="nil"/>
              <w:left w:val="nil"/>
              <w:bottom w:val="single" w:sz="12" w:space="0" w:color="FFFFFF"/>
              <w:right w:val="single" w:sz="8" w:space="0" w:color="FFFFFF"/>
            </w:tcBorders>
            <w:shd w:val="clear" w:color="000000" w:fill="CDE0E8"/>
            <w:textDirection w:val="btLr"/>
            <w:vAlign w:val="center"/>
            <w:hideMark/>
          </w:tcPr>
          <w:p w14:paraId="40214FA5"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2016</w:t>
            </w:r>
          </w:p>
        </w:tc>
        <w:tc>
          <w:tcPr>
            <w:tcW w:w="603" w:type="dxa"/>
            <w:tcBorders>
              <w:top w:val="nil"/>
              <w:left w:val="nil"/>
              <w:bottom w:val="single" w:sz="8" w:space="0" w:color="FFFFFF"/>
              <w:right w:val="single" w:sz="8" w:space="0" w:color="FFFFFF"/>
            </w:tcBorders>
            <w:shd w:val="clear" w:color="000000" w:fill="CDE0E8"/>
            <w:textDirection w:val="btLr"/>
            <w:vAlign w:val="center"/>
            <w:hideMark/>
          </w:tcPr>
          <w:p w14:paraId="58F947D4" w14:textId="77777777" w:rsidR="00D95D3F" w:rsidRPr="00FA384A" w:rsidRDefault="00D95D3F" w:rsidP="00FA384A">
            <w:pPr>
              <w:spacing w:after="0" w:line="360" w:lineRule="auto"/>
              <w:jc w:val="center"/>
              <w:rPr>
                <w:rFonts w:eastAsia="Times New Roman" w:cstheme="minorHAnsi"/>
                <w:b/>
                <w:bCs/>
                <w:color w:val="000000"/>
                <w:sz w:val="20"/>
                <w:szCs w:val="20"/>
                <w:lang w:eastAsia="es-AR"/>
              </w:rPr>
            </w:pPr>
            <w:r w:rsidRPr="00FA384A">
              <w:rPr>
                <w:rFonts w:eastAsia="Times New Roman" w:cstheme="minorHAnsi"/>
                <w:b/>
                <w:bCs/>
                <w:color w:val="000000"/>
                <w:sz w:val="20"/>
                <w:szCs w:val="20"/>
                <w:lang w:eastAsia="es-AR"/>
              </w:rPr>
              <w:t>2017</w:t>
            </w:r>
          </w:p>
        </w:tc>
      </w:tr>
      <w:tr w:rsidR="00D95D3F" w:rsidRPr="00FA384A" w14:paraId="1C0AE64A" w14:textId="77777777" w:rsidTr="00FA384A">
        <w:trPr>
          <w:trHeight w:hRule="exact" w:val="1001"/>
          <w:jc w:val="center"/>
        </w:trPr>
        <w:tc>
          <w:tcPr>
            <w:tcW w:w="604" w:type="dxa"/>
            <w:tcBorders>
              <w:top w:val="single" w:sz="8" w:space="0" w:color="FFFFFF"/>
              <w:left w:val="nil"/>
              <w:bottom w:val="single" w:sz="12" w:space="0" w:color="FFFFFF"/>
              <w:right w:val="single" w:sz="8" w:space="0" w:color="FFFFFF"/>
            </w:tcBorders>
            <w:shd w:val="clear" w:color="auto" w:fill="00B0F0"/>
            <w:vAlign w:val="center"/>
            <w:hideMark/>
          </w:tcPr>
          <w:p w14:paraId="79E0925F"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 PBI</w:t>
            </w:r>
          </w:p>
        </w:tc>
        <w:tc>
          <w:tcPr>
            <w:tcW w:w="604" w:type="dxa"/>
            <w:tcBorders>
              <w:top w:val="nil"/>
              <w:left w:val="nil"/>
              <w:bottom w:val="single" w:sz="8" w:space="0" w:color="FFFFFF"/>
              <w:right w:val="single" w:sz="8" w:space="0" w:color="FFFFFF"/>
            </w:tcBorders>
            <w:shd w:val="clear" w:color="000000" w:fill="CDE0E8"/>
            <w:vAlign w:val="center"/>
            <w:hideMark/>
          </w:tcPr>
          <w:p w14:paraId="375C406C" w14:textId="77777777" w:rsidR="00D95D3F" w:rsidRPr="00FA384A" w:rsidRDefault="00CA2AA4"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3,49</w:t>
            </w:r>
          </w:p>
        </w:tc>
        <w:tc>
          <w:tcPr>
            <w:tcW w:w="560" w:type="dxa"/>
            <w:tcBorders>
              <w:top w:val="nil"/>
              <w:left w:val="nil"/>
              <w:bottom w:val="single" w:sz="12" w:space="0" w:color="FFFFFF"/>
              <w:right w:val="single" w:sz="8" w:space="0" w:color="FFFFFF"/>
            </w:tcBorders>
            <w:shd w:val="clear" w:color="000000" w:fill="E8F0F4"/>
            <w:vAlign w:val="center"/>
            <w:hideMark/>
          </w:tcPr>
          <w:p w14:paraId="69203717"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3,86</w:t>
            </w:r>
          </w:p>
        </w:tc>
        <w:tc>
          <w:tcPr>
            <w:tcW w:w="725" w:type="dxa"/>
            <w:tcBorders>
              <w:top w:val="nil"/>
              <w:left w:val="nil"/>
              <w:bottom w:val="single" w:sz="8" w:space="0" w:color="FFFFFF"/>
              <w:right w:val="single" w:sz="8" w:space="0" w:color="FFFFFF"/>
            </w:tcBorders>
            <w:shd w:val="clear" w:color="000000" w:fill="CDE0E8"/>
            <w:vAlign w:val="center"/>
            <w:hideMark/>
          </w:tcPr>
          <w:p w14:paraId="13EE4E9E" w14:textId="77777777" w:rsidR="00D95D3F" w:rsidRPr="00FA384A" w:rsidRDefault="00CA2AA4"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4,13</w:t>
            </w:r>
          </w:p>
        </w:tc>
        <w:tc>
          <w:tcPr>
            <w:tcW w:w="604" w:type="dxa"/>
            <w:tcBorders>
              <w:top w:val="nil"/>
              <w:left w:val="nil"/>
              <w:bottom w:val="single" w:sz="12" w:space="0" w:color="FFFFFF"/>
              <w:right w:val="single" w:sz="8" w:space="0" w:color="FFFFFF"/>
            </w:tcBorders>
            <w:shd w:val="clear" w:color="000000" w:fill="E8F0F4"/>
            <w:vAlign w:val="center"/>
            <w:hideMark/>
          </w:tcPr>
          <w:p w14:paraId="384AAE09" w14:textId="77777777" w:rsidR="00D95D3F" w:rsidRPr="00FA384A" w:rsidRDefault="00CA2AA4"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4,47</w:t>
            </w:r>
          </w:p>
        </w:tc>
        <w:tc>
          <w:tcPr>
            <w:tcW w:w="604" w:type="dxa"/>
            <w:tcBorders>
              <w:top w:val="nil"/>
              <w:left w:val="nil"/>
              <w:bottom w:val="single" w:sz="12" w:space="0" w:color="FFFFFF"/>
              <w:right w:val="single" w:sz="8" w:space="0" w:color="FFFFFF"/>
            </w:tcBorders>
            <w:shd w:val="clear" w:color="000000" w:fill="CDE0E8"/>
            <w:vAlign w:val="center"/>
            <w:hideMark/>
          </w:tcPr>
          <w:p w14:paraId="2403504F" w14:textId="77777777" w:rsidR="00D95D3F" w:rsidRPr="00FA384A" w:rsidRDefault="00CA2AA4"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4,84</w:t>
            </w:r>
          </w:p>
        </w:tc>
        <w:tc>
          <w:tcPr>
            <w:tcW w:w="603" w:type="dxa"/>
            <w:tcBorders>
              <w:top w:val="nil"/>
              <w:left w:val="nil"/>
              <w:bottom w:val="single" w:sz="12" w:space="0" w:color="FFFFFF"/>
              <w:right w:val="single" w:sz="8" w:space="0" w:color="FFFFFF"/>
            </w:tcBorders>
            <w:shd w:val="clear" w:color="000000" w:fill="CDE0E8"/>
            <w:vAlign w:val="center"/>
            <w:hideMark/>
          </w:tcPr>
          <w:p w14:paraId="2E2CB3A7" w14:textId="77777777" w:rsidR="00D95D3F" w:rsidRPr="00FA384A" w:rsidRDefault="00CA2AA4"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5,53</w:t>
            </w:r>
          </w:p>
        </w:tc>
        <w:tc>
          <w:tcPr>
            <w:tcW w:w="603" w:type="dxa"/>
            <w:tcBorders>
              <w:top w:val="nil"/>
              <w:left w:val="nil"/>
              <w:bottom w:val="single" w:sz="8" w:space="0" w:color="FFFFFF"/>
              <w:right w:val="single" w:sz="8" w:space="0" w:color="FFFFFF"/>
            </w:tcBorders>
            <w:shd w:val="clear" w:color="000000" w:fill="CDE0E8"/>
            <w:vAlign w:val="center"/>
            <w:hideMark/>
          </w:tcPr>
          <w:p w14:paraId="03F4D60D"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5,02</w:t>
            </w:r>
          </w:p>
        </w:tc>
        <w:tc>
          <w:tcPr>
            <w:tcW w:w="603" w:type="dxa"/>
            <w:tcBorders>
              <w:top w:val="nil"/>
              <w:left w:val="nil"/>
              <w:bottom w:val="single" w:sz="12" w:space="0" w:color="FFFFFF"/>
              <w:right w:val="single" w:sz="8" w:space="0" w:color="FFFFFF"/>
            </w:tcBorders>
            <w:shd w:val="clear" w:color="000000" w:fill="E8F0F4"/>
            <w:vAlign w:val="center"/>
            <w:hideMark/>
          </w:tcPr>
          <w:p w14:paraId="62C47608"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5,29</w:t>
            </w:r>
          </w:p>
        </w:tc>
        <w:tc>
          <w:tcPr>
            <w:tcW w:w="603" w:type="dxa"/>
            <w:tcBorders>
              <w:top w:val="nil"/>
              <w:left w:val="nil"/>
              <w:bottom w:val="single" w:sz="8" w:space="0" w:color="FFFFFF"/>
              <w:right w:val="single" w:sz="8" w:space="0" w:color="FFFFFF"/>
            </w:tcBorders>
            <w:shd w:val="clear" w:color="000000" w:fill="CDE0E8"/>
            <w:vAlign w:val="center"/>
            <w:hideMark/>
          </w:tcPr>
          <w:p w14:paraId="25F0EB6C"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5,3</w:t>
            </w:r>
            <w:r w:rsidR="00CA2AA4" w:rsidRPr="00FA384A">
              <w:rPr>
                <w:rFonts w:eastAsia="Times New Roman" w:cstheme="minorHAnsi"/>
                <w:color w:val="000000"/>
                <w:sz w:val="20"/>
                <w:szCs w:val="20"/>
                <w:lang w:eastAsia="es-AR"/>
              </w:rPr>
              <w:t>7</w:t>
            </w:r>
          </w:p>
        </w:tc>
        <w:tc>
          <w:tcPr>
            <w:tcW w:w="603" w:type="dxa"/>
            <w:tcBorders>
              <w:top w:val="nil"/>
              <w:left w:val="nil"/>
              <w:bottom w:val="single" w:sz="12" w:space="0" w:color="FFFFFF"/>
              <w:right w:val="single" w:sz="8" w:space="0" w:color="FFFFFF"/>
            </w:tcBorders>
            <w:shd w:val="clear" w:color="000000" w:fill="E8F0F4"/>
            <w:vAlign w:val="center"/>
            <w:hideMark/>
          </w:tcPr>
          <w:p w14:paraId="268451E6"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5,4</w:t>
            </w:r>
            <w:r w:rsidR="00CA2AA4" w:rsidRPr="00FA384A">
              <w:rPr>
                <w:rFonts w:eastAsia="Times New Roman" w:cstheme="minorHAnsi"/>
                <w:color w:val="000000"/>
                <w:sz w:val="20"/>
                <w:szCs w:val="20"/>
                <w:lang w:eastAsia="es-AR"/>
              </w:rPr>
              <w:t>4</w:t>
            </w:r>
          </w:p>
        </w:tc>
        <w:tc>
          <w:tcPr>
            <w:tcW w:w="603" w:type="dxa"/>
            <w:tcBorders>
              <w:top w:val="nil"/>
              <w:left w:val="nil"/>
              <w:bottom w:val="single" w:sz="8" w:space="0" w:color="FFFFFF"/>
              <w:right w:val="single" w:sz="8" w:space="0" w:color="FFFFFF"/>
            </w:tcBorders>
            <w:shd w:val="clear" w:color="000000" w:fill="CDE0E8"/>
            <w:vAlign w:val="center"/>
            <w:hideMark/>
          </w:tcPr>
          <w:p w14:paraId="3D4698DB"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5,36</w:t>
            </w:r>
          </w:p>
        </w:tc>
        <w:tc>
          <w:tcPr>
            <w:tcW w:w="603" w:type="dxa"/>
            <w:tcBorders>
              <w:top w:val="nil"/>
              <w:left w:val="nil"/>
              <w:bottom w:val="single" w:sz="12" w:space="0" w:color="FFFFFF"/>
              <w:right w:val="single" w:sz="8" w:space="0" w:color="FFFFFF"/>
            </w:tcBorders>
            <w:shd w:val="clear" w:color="000000" w:fill="E8F0F4"/>
            <w:vAlign w:val="center"/>
            <w:hideMark/>
          </w:tcPr>
          <w:p w14:paraId="5862DB28"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5,7</w:t>
            </w:r>
            <w:r w:rsidR="00CA2AA4" w:rsidRPr="00FA384A">
              <w:rPr>
                <w:rFonts w:eastAsia="Times New Roman" w:cstheme="minorHAnsi"/>
                <w:color w:val="000000"/>
                <w:sz w:val="20"/>
                <w:szCs w:val="20"/>
                <w:lang w:eastAsia="es-AR"/>
              </w:rPr>
              <w:t>8</w:t>
            </w:r>
          </w:p>
        </w:tc>
        <w:tc>
          <w:tcPr>
            <w:tcW w:w="603" w:type="dxa"/>
            <w:tcBorders>
              <w:top w:val="nil"/>
              <w:left w:val="nil"/>
              <w:bottom w:val="single" w:sz="12" w:space="0" w:color="FFFFFF"/>
              <w:right w:val="single" w:sz="8" w:space="0" w:color="FFFFFF"/>
            </w:tcBorders>
            <w:shd w:val="clear" w:color="000000" w:fill="CDE0E8"/>
            <w:vAlign w:val="center"/>
            <w:hideMark/>
          </w:tcPr>
          <w:p w14:paraId="637E5FF3"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5,54</w:t>
            </w:r>
          </w:p>
        </w:tc>
        <w:tc>
          <w:tcPr>
            <w:tcW w:w="603" w:type="dxa"/>
            <w:tcBorders>
              <w:top w:val="nil"/>
              <w:left w:val="nil"/>
              <w:bottom w:val="single" w:sz="8" w:space="0" w:color="FFFFFF"/>
              <w:right w:val="single" w:sz="8" w:space="0" w:color="FFFFFF"/>
            </w:tcBorders>
            <w:shd w:val="clear" w:color="000000" w:fill="CDE0E8"/>
            <w:vAlign w:val="center"/>
            <w:hideMark/>
          </w:tcPr>
          <w:p w14:paraId="0233E5FE" w14:textId="77777777" w:rsidR="00D95D3F" w:rsidRPr="00FA384A" w:rsidRDefault="00D95D3F" w:rsidP="00FA384A">
            <w:pPr>
              <w:spacing w:after="0" w:line="240" w:lineRule="auto"/>
              <w:jc w:val="both"/>
              <w:rPr>
                <w:rFonts w:eastAsia="Times New Roman" w:cstheme="minorHAnsi"/>
                <w:color w:val="000000"/>
                <w:sz w:val="20"/>
                <w:szCs w:val="20"/>
                <w:lang w:eastAsia="es-AR"/>
              </w:rPr>
            </w:pPr>
            <w:r w:rsidRPr="00FA384A">
              <w:rPr>
                <w:rFonts w:eastAsia="Times New Roman" w:cstheme="minorHAnsi"/>
                <w:color w:val="000000"/>
                <w:sz w:val="20"/>
                <w:szCs w:val="20"/>
                <w:lang w:eastAsia="es-AR"/>
              </w:rPr>
              <w:t>5,46</w:t>
            </w:r>
          </w:p>
        </w:tc>
      </w:tr>
    </w:tbl>
    <w:p w14:paraId="69317462" w14:textId="070699E9" w:rsidR="00E70E77" w:rsidRPr="00FA384A" w:rsidRDefault="00B0230A" w:rsidP="00FA384A">
      <w:pPr>
        <w:spacing w:after="0" w:line="240" w:lineRule="auto"/>
        <w:jc w:val="both"/>
        <w:rPr>
          <w:rFonts w:cstheme="minorHAnsi"/>
          <w:sz w:val="20"/>
          <w:szCs w:val="20"/>
        </w:rPr>
      </w:pPr>
      <w:r w:rsidRPr="00FA384A">
        <w:rPr>
          <w:rFonts w:cstheme="minorHAnsi"/>
          <w:sz w:val="20"/>
          <w:szCs w:val="20"/>
        </w:rPr>
        <w:t>Tabla 2: Porcentaje de PBI asignado al presupuesto de la educación pública argentina</w:t>
      </w:r>
      <w:r w:rsidR="00FA384A">
        <w:rPr>
          <w:rFonts w:cstheme="minorHAnsi"/>
          <w:sz w:val="20"/>
          <w:szCs w:val="20"/>
        </w:rPr>
        <w:t xml:space="preserve">. </w:t>
      </w:r>
      <w:r w:rsidR="002225DF" w:rsidRPr="00FA384A">
        <w:rPr>
          <w:rFonts w:cstheme="minorHAnsi"/>
          <w:sz w:val="20"/>
          <w:szCs w:val="20"/>
        </w:rPr>
        <w:t>Fuente: Instituto de Estadística de la Organización de las Naciones Unidas para la Educa</w:t>
      </w:r>
      <w:r w:rsidR="00065B83" w:rsidRPr="00FA384A">
        <w:rPr>
          <w:rFonts w:cstheme="minorHAnsi"/>
          <w:sz w:val="20"/>
          <w:szCs w:val="20"/>
        </w:rPr>
        <w:t>ción, la Ciencia y la Cultura (</w:t>
      </w:r>
      <w:r w:rsidR="002225DF" w:rsidRPr="00FA384A">
        <w:rPr>
          <w:rFonts w:cstheme="minorHAnsi"/>
          <w:sz w:val="20"/>
          <w:szCs w:val="20"/>
        </w:rPr>
        <w:t>UNESCO</w:t>
      </w:r>
      <w:r w:rsidR="00065B83" w:rsidRPr="00FA384A">
        <w:rPr>
          <w:rFonts w:cstheme="minorHAnsi"/>
          <w:sz w:val="20"/>
          <w:szCs w:val="20"/>
        </w:rPr>
        <w:t>)</w:t>
      </w:r>
    </w:p>
    <w:p w14:paraId="294AB9BB" w14:textId="77777777" w:rsidR="0027268A" w:rsidRPr="00755B91" w:rsidRDefault="0027268A" w:rsidP="00755B91">
      <w:pPr>
        <w:spacing w:after="0" w:line="360" w:lineRule="auto"/>
        <w:jc w:val="both"/>
        <w:rPr>
          <w:rFonts w:cstheme="minorHAnsi"/>
        </w:rPr>
      </w:pPr>
    </w:p>
    <w:p w14:paraId="32C40484" w14:textId="24899609" w:rsidR="00D8257D" w:rsidRPr="00755B91" w:rsidRDefault="00D8257D" w:rsidP="00FA384A">
      <w:pPr>
        <w:spacing w:after="0" w:line="360" w:lineRule="auto"/>
        <w:ind w:firstLine="567"/>
        <w:jc w:val="both"/>
        <w:rPr>
          <w:rFonts w:cstheme="minorHAnsi"/>
        </w:rPr>
      </w:pPr>
      <w:r w:rsidRPr="00755B91">
        <w:rPr>
          <w:rFonts w:cstheme="minorHAnsi"/>
        </w:rPr>
        <w:t xml:space="preserve">Es importante destacar que durante el año </w:t>
      </w:r>
      <w:r w:rsidR="009145AB" w:rsidRPr="00755B91">
        <w:rPr>
          <w:rFonts w:cstheme="minorHAnsi"/>
        </w:rPr>
        <w:t>2017</w:t>
      </w:r>
      <w:r w:rsidRPr="00755B91">
        <w:rPr>
          <w:rFonts w:cstheme="minorHAnsi"/>
        </w:rPr>
        <w:t xml:space="preserve"> el 99,66% de los recursos obtenidos por las universidades públicas </w:t>
      </w:r>
      <w:r w:rsidR="00AE1E22" w:rsidRPr="00755B91">
        <w:rPr>
          <w:rFonts w:cstheme="minorHAnsi"/>
        </w:rPr>
        <w:t>argentinas</w:t>
      </w:r>
      <w:r w:rsidRPr="00755B91">
        <w:rPr>
          <w:rFonts w:cstheme="minorHAnsi"/>
        </w:rPr>
        <w:t xml:space="preserve"> provinieron del Tesoro Nacional, según datos elaborados por la Secretaría de Políticas Universitarias de Argentina (SPU), demostrando que las </w:t>
      </w:r>
      <w:r w:rsidR="00AE1E22" w:rsidRPr="00755B91">
        <w:rPr>
          <w:rFonts w:cstheme="minorHAnsi"/>
        </w:rPr>
        <w:t xml:space="preserve">mismas </w:t>
      </w:r>
      <w:r w:rsidRPr="00755B91">
        <w:rPr>
          <w:rFonts w:cstheme="minorHAnsi"/>
        </w:rPr>
        <w:t>prácticamen</w:t>
      </w:r>
      <w:r w:rsidR="007F1183" w:rsidRPr="00755B91">
        <w:rPr>
          <w:rFonts w:cstheme="minorHAnsi"/>
        </w:rPr>
        <w:t xml:space="preserve">te no generan recursos propios, </w:t>
      </w:r>
      <w:r w:rsidR="00FA384A" w:rsidRPr="00755B91">
        <w:rPr>
          <w:rFonts w:cstheme="minorHAnsi"/>
        </w:rPr>
        <w:t>de acuerdo con</w:t>
      </w:r>
      <w:r w:rsidR="007F1183" w:rsidRPr="00755B91">
        <w:rPr>
          <w:rFonts w:cstheme="minorHAnsi"/>
        </w:rPr>
        <w:t xml:space="preserve"> lo que p</w:t>
      </w:r>
      <w:r w:rsidR="002F0566" w:rsidRPr="00755B91">
        <w:rPr>
          <w:rFonts w:cstheme="minorHAnsi"/>
        </w:rPr>
        <w:t xml:space="preserve">uede observarse en la Tabla </w:t>
      </w:r>
      <w:r w:rsidR="00CB4EB1" w:rsidRPr="00755B91">
        <w:rPr>
          <w:rFonts w:cstheme="minorHAnsi"/>
        </w:rPr>
        <w:t>3</w:t>
      </w:r>
      <w:r w:rsidR="00692F42" w:rsidRPr="00755B91">
        <w:rPr>
          <w:rFonts w:cstheme="minorHAnsi"/>
        </w:rPr>
        <w:t>.</w:t>
      </w:r>
    </w:p>
    <w:tbl>
      <w:tblPr>
        <w:tblW w:w="8920" w:type="dxa"/>
        <w:tblCellMar>
          <w:left w:w="0" w:type="dxa"/>
          <w:right w:w="0" w:type="dxa"/>
        </w:tblCellMar>
        <w:tblLook w:val="04A0" w:firstRow="1" w:lastRow="0" w:firstColumn="1" w:lastColumn="0" w:noHBand="0" w:noVBand="1"/>
      </w:tblPr>
      <w:tblGrid>
        <w:gridCol w:w="2860"/>
        <w:gridCol w:w="2097"/>
        <w:gridCol w:w="2092"/>
        <w:gridCol w:w="1871"/>
      </w:tblGrid>
      <w:tr w:rsidR="00882EBB" w:rsidRPr="00755B91" w14:paraId="73D70F74" w14:textId="77777777" w:rsidTr="00B0230A">
        <w:trPr>
          <w:trHeight w:val="480"/>
        </w:trPr>
        <w:tc>
          <w:tcPr>
            <w:tcW w:w="2860" w:type="dxa"/>
            <w:tcBorders>
              <w:top w:val="single" w:sz="4" w:space="0" w:color="auto"/>
              <w:left w:val="single" w:sz="4" w:space="0" w:color="auto"/>
              <w:bottom w:val="single" w:sz="4" w:space="0" w:color="auto"/>
              <w:right w:val="single" w:sz="4" w:space="0" w:color="auto"/>
            </w:tcBorders>
            <w:shd w:val="clear" w:color="auto" w:fill="00B0F0"/>
            <w:noWrap/>
            <w:tcMar>
              <w:top w:w="15" w:type="dxa"/>
              <w:left w:w="15" w:type="dxa"/>
              <w:bottom w:w="0" w:type="dxa"/>
              <w:right w:w="15" w:type="dxa"/>
            </w:tcMar>
            <w:vAlign w:val="center"/>
            <w:hideMark/>
          </w:tcPr>
          <w:p w14:paraId="30210E11"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Universidades Nacionales </w:t>
            </w:r>
          </w:p>
        </w:tc>
        <w:tc>
          <w:tcPr>
            <w:tcW w:w="2097" w:type="dxa"/>
            <w:tcBorders>
              <w:top w:val="single" w:sz="4" w:space="0" w:color="auto"/>
              <w:left w:val="nil"/>
              <w:bottom w:val="single" w:sz="4" w:space="0" w:color="auto"/>
              <w:right w:val="single" w:sz="4" w:space="0" w:color="auto"/>
            </w:tcBorders>
            <w:shd w:val="clear" w:color="auto" w:fill="00B0F0"/>
            <w:noWrap/>
            <w:tcMar>
              <w:top w:w="15" w:type="dxa"/>
              <w:left w:w="15" w:type="dxa"/>
              <w:bottom w:w="0" w:type="dxa"/>
              <w:right w:w="15" w:type="dxa"/>
            </w:tcMar>
            <w:vAlign w:val="center"/>
            <w:hideMark/>
          </w:tcPr>
          <w:p w14:paraId="7F256755"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w:t>
            </w:r>
            <w:proofErr w:type="gramStart"/>
            <w:r w:rsidRPr="00FA384A">
              <w:rPr>
                <w:rFonts w:cstheme="minorHAnsi"/>
                <w:b/>
                <w:bCs/>
                <w:sz w:val="20"/>
                <w:szCs w:val="20"/>
              </w:rPr>
              <w:t>Total</w:t>
            </w:r>
            <w:proofErr w:type="gramEnd"/>
            <w:r w:rsidRPr="00FA384A">
              <w:rPr>
                <w:rFonts w:cstheme="minorHAnsi"/>
                <w:b/>
                <w:bCs/>
                <w:sz w:val="20"/>
                <w:szCs w:val="20"/>
              </w:rPr>
              <w:t xml:space="preserve"> de Recursos </w:t>
            </w:r>
          </w:p>
        </w:tc>
        <w:tc>
          <w:tcPr>
            <w:tcW w:w="2092" w:type="dxa"/>
            <w:tcBorders>
              <w:top w:val="single" w:sz="4" w:space="0" w:color="auto"/>
              <w:left w:val="nil"/>
              <w:bottom w:val="single" w:sz="4" w:space="0" w:color="auto"/>
              <w:right w:val="single" w:sz="4" w:space="0" w:color="auto"/>
            </w:tcBorders>
            <w:shd w:val="clear" w:color="auto" w:fill="00B0F0"/>
            <w:noWrap/>
            <w:tcMar>
              <w:top w:w="15" w:type="dxa"/>
              <w:left w:w="15" w:type="dxa"/>
              <w:bottom w:w="0" w:type="dxa"/>
              <w:right w:w="15" w:type="dxa"/>
            </w:tcMar>
            <w:vAlign w:val="center"/>
            <w:hideMark/>
          </w:tcPr>
          <w:p w14:paraId="58FA1AD1"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Tesoro Nacional </w:t>
            </w:r>
          </w:p>
        </w:tc>
        <w:tc>
          <w:tcPr>
            <w:tcW w:w="1871" w:type="dxa"/>
            <w:tcBorders>
              <w:top w:val="single" w:sz="4" w:space="0" w:color="auto"/>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0DE3B658"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Porcentaje Aporte Tesoro Nacional </w:t>
            </w:r>
          </w:p>
        </w:tc>
      </w:tr>
      <w:tr w:rsidR="00882EBB" w:rsidRPr="00755B91" w14:paraId="53F33340"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C78CBE8"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Alto Uruguay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33302"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61.672.067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8C89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61.672.067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516A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0AC1028B"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40200A2"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Artes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F0D49"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1.176.683.977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D7978"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1.164.277.282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9C32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98,95%</w:t>
            </w:r>
          </w:p>
        </w:tc>
      </w:tr>
      <w:tr w:rsidR="00882EBB" w:rsidRPr="00755B91" w14:paraId="1621057A"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98B51B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Arturo Jauretche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A63F8"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610.846.382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A0B6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610.846.382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4D80C"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520A1F18"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BDBC6E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Avellaneda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96A00"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472.429.050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447A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446.794.432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EDB9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94,57%</w:t>
            </w:r>
          </w:p>
        </w:tc>
      </w:tr>
      <w:tr w:rsidR="00882EBB" w:rsidRPr="00755B91" w14:paraId="3AFA5ABA"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6957B84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Buenos Aires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47BF7"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19.383.738.256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49138"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19.350.381.257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3C6B2"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99,83%</w:t>
            </w:r>
          </w:p>
        </w:tc>
      </w:tr>
      <w:tr w:rsidR="00882EBB" w:rsidRPr="00755B91" w14:paraId="0C0CA49E"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177770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Catamarca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DF8C5"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1.485.852.970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D845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1.485.852.970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BEC1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008BECA3"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C1403B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Centro de la PBA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F2D72"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1.713.163.709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F171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1.708.222.227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60C2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99,71%</w:t>
            </w:r>
          </w:p>
        </w:tc>
      </w:tr>
      <w:tr w:rsidR="00882EBB" w:rsidRPr="00755B91" w14:paraId="66191A76"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301E7DC"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Chaco Austral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890B4"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342.643.872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42E0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342.643.872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7BD6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4BFB6B72"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6C19141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lastRenderedPageBreak/>
              <w:t>Chilecito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53796"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478.958.209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23EF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470.640.909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79DB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98,26%</w:t>
            </w:r>
          </w:p>
        </w:tc>
      </w:tr>
      <w:tr w:rsidR="00882EBB" w:rsidRPr="00755B91" w14:paraId="33738083"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755E42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Comahue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DBF87"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2.352.669.738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942F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2.321.928.822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B8614"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98,69%</w:t>
            </w:r>
          </w:p>
        </w:tc>
      </w:tr>
      <w:tr w:rsidR="00882EBB" w:rsidRPr="00755B91" w14:paraId="11042700"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115F3DC"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Comechingones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929B1"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69.514.837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1655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69.514.837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A5037"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71CA2A72"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6758D662"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Córdoba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54DF5"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7.378.620.937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CA078"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7.365.013.171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50E1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99,82%</w:t>
            </w:r>
          </w:p>
        </w:tc>
      </w:tr>
      <w:tr w:rsidR="00882EBB" w:rsidRPr="00755B91" w14:paraId="54D2B45D"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3CB4A2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Cuyo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7B16C"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4.264.850.520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E698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4.264.249.240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446F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99,99%</w:t>
            </w:r>
          </w:p>
        </w:tc>
      </w:tr>
      <w:tr w:rsidR="00882EBB" w:rsidRPr="00755B91" w14:paraId="4998B9F9" w14:textId="77777777" w:rsidTr="00882EBB">
        <w:trPr>
          <w:trHeight w:val="2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5E36B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Defensa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4F526"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94.604.380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D8C4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94.604.380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B084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7567B9B2"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32351D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Entre Ríos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64F8E"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1.394.157.002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7073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1.386.851.101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D2A97"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99,48%</w:t>
            </w:r>
          </w:p>
        </w:tc>
      </w:tr>
      <w:tr w:rsidR="00882EBB" w:rsidRPr="00755B91" w14:paraId="669289F1"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74BCF8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Formosa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49328"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886.617.793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E32B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883.013.665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C270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99,59%</w:t>
            </w:r>
          </w:p>
        </w:tc>
      </w:tr>
      <w:tr w:rsidR="00882EBB" w:rsidRPr="00755B91" w14:paraId="54B08932"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EC2BE3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Gral. Sarmiento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716E6"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778.751.773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638C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776.969.476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C8E6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99,77%</w:t>
            </w:r>
          </w:p>
        </w:tc>
      </w:tr>
      <w:tr w:rsidR="00882EBB" w:rsidRPr="00755B91" w14:paraId="56F6DCEA"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38C1357"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Guillermo Brown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EB1B7"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113.530.393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4B3C4"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113.530.393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12A7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1F0BBB94"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785D42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Hurlingham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89929"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295.532.330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88E3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285.721.139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3AE89"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96,68%</w:t>
            </w:r>
          </w:p>
        </w:tc>
      </w:tr>
      <w:tr w:rsidR="00882EBB" w:rsidRPr="00755B91" w14:paraId="06335399"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027CF4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José C. Paz</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74DE1"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443.813.987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372F9"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439.739.863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EAA2C"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99,08%</w:t>
            </w:r>
          </w:p>
        </w:tc>
      </w:tr>
      <w:tr w:rsidR="00882EBB" w:rsidRPr="00755B91" w14:paraId="4DCB3EC5"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A1AC09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Jujuy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A460D"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1.355.482.931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E56B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1.355.219.617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2476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99,98%</w:t>
            </w:r>
          </w:p>
        </w:tc>
      </w:tr>
      <w:tr w:rsidR="00882EBB" w:rsidRPr="00755B91" w14:paraId="0D3F40BD"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933F67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La Matanza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3FAF8"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1.751.722.569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FC29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1.751.722.569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964DC"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04860C39"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EA34D07"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La Pampa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EF27D"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1.183.211.370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9834C"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1.183.211.370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EC4F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513AD781"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58FA2C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La Plata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55FE0"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7.353.221.184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BE034"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7.331.175.365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4FDD7"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99,70%</w:t>
            </w:r>
          </w:p>
        </w:tc>
      </w:tr>
      <w:tr w:rsidR="00882EBB" w:rsidRPr="00755B91" w14:paraId="1ECA604D"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96A44C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La Rioja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C9899"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1.346.147.946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7026C"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1.346.147.946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49EB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4079518F"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4DD20E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Lanús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3D080"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761.102.877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29A2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756.879.570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0102C"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99,45%</w:t>
            </w:r>
          </w:p>
        </w:tc>
      </w:tr>
      <w:tr w:rsidR="00882EBB" w:rsidRPr="00755B91" w14:paraId="54E29311"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93AB23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Litoral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4BF74"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2.770.390.284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19132"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2.761.610.001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BECA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99,68%</w:t>
            </w:r>
          </w:p>
        </w:tc>
      </w:tr>
      <w:tr w:rsidR="00882EBB" w:rsidRPr="00755B91" w14:paraId="24BE3AAA"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330C94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Lomas de Zamora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62A97"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1.509.308.860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CCA7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1.487.682.409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0B28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98,57%</w:t>
            </w:r>
          </w:p>
        </w:tc>
      </w:tr>
      <w:tr w:rsidR="00882EBB" w:rsidRPr="00755B91" w14:paraId="0CB765C0"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0DD602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Luján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D99B2"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1.429.132.584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E14F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1.418.120.738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7E0C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99,23%</w:t>
            </w:r>
          </w:p>
        </w:tc>
      </w:tr>
      <w:tr w:rsidR="00882EBB" w:rsidRPr="00755B91" w14:paraId="1CDE267A"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2C72B59"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Mar del Plata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6E2CD"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2.297.733.402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7BAD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2.297.524.851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7F1A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99,99%</w:t>
            </w:r>
          </w:p>
        </w:tc>
      </w:tr>
      <w:tr w:rsidR="00882EBB" w:rsidRPr="00755B91" w14:paraId="455F0B0D"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176E08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Misiones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F6199"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1.648.890.916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FEEE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1.643.343.178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D7A0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99,66%</w:t>
            </w:r>
          </w:p>
        </w:tc>
      </w:tr>
      <w:tr w:rsidR="00882EBB" w:rsidRPr="00755B91" w14:paraId="1224B858"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4115764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Moreno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6B12B"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376.305.143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7ADB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363.896.638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113E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96,70%</w:t>
            </w:r>
          </w:p>
        </w:tc>
      </w:tr>
      <w:tr w:rsidR="00882EBB" w:rsidRPr="00755B91" w14:paraId="26378F59"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5C0C962"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Nordeste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A7E07"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2.989.888.776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1D30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2.980.986.176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A3A9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99,70%</w:t>
            </w:r>
          </w:p>
        </w:tc>
      </w:tr>
      <w:tr w:rsidR="00882EBB" w:rsidRPr="00755B91" w14:paraId="63191EE6"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C831BE7"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Noroeste de la PBA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24D34"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562.026.787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8870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562.026.787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0E7C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790A6A06"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5C35AA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Oeste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AD273"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224.809.419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86EAC"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224.809.419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AC81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2D23F764"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F926264"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Patagonia Austral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553B2"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1.054.395.418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8A47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1.054.395.418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92F2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01F87C4C"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7D67E9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Patagonia </w:t>
            </w:r>
            <w:proofErr w:type="spellStart"/>
            <w:r w:rsidRPr="00FA384A">
              <w:rPr>
                <w:rFonts w:cstheme="minorHAnsi"/>
                <w:sz w:val="20"/>
                <w:szCs w:val="20"/>
              </w:rPr>
              <w:t>S.</w:t>
            </w:r>
            <w:proofErr w:type="gramStart"/>
            <w:r w:rsidRPr="00FA384A">
              <w:rPr>
                <w:rFonts w:cstheme="minorHAnsi"/>
                <w:sz w:val="20"/>
                <w:szCs w:val="20"/>
              </w:rPr>
              <w:t>J.Bosco</w:t>
            </w:r>
            <w:proofErr w:type="spellEnd"/>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3105D"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1.873.611.846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7B1C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1.873.611.846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AF728"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29B0A535"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4C51D04"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Pedagógica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6FF25"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190.811.833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6ED0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190.811.833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F32E7"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512E9D31"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8BE9B32"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Quilmes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4CF2A"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993.442.856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C5DC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992.341.020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6FEE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99,89%</w:t>
            </w:r>
          </w:p>
        </w:tc>
      </w:tr>
      <w:tr w:rsidR="00882EBB" w:rsidRPr="00755B91" w14:paraId="2F1A749D"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4514B8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Rafaela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A3A27"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130.249.169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5BD0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130.249.169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1FE6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0CD6ED98"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4F87CC9"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Río Cuarto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7E503"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1.679.196.337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9948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1.679.196.337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4FE2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6256B2DC"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C65A86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Río Negro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941A4"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903.799.590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81774"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899.023.055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8A60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99,47%</w:t>
            </w:r>
          </w:p>
        </w:tc>
      </w:tr>
      <w:tr w:rsidR="00882EBB" w:rsidRPr="00755B91" w14:paraId="148795CE"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3188AF9"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Rosario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83F42"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5.325.041.854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FA7C9"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5.317.493.844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49792"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99,86%</w:t>
            </w:r>
          </w:p>
        </w:tc>
      </w:tr>
      <w:tr w:rsidR="00882EBB" w:rsidRPr="00755B91" w14:paraId="287AAF67"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08ACA8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Salta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8EDA4"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1.789.863.255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1A0C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1.778.872.521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25B0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99,39%</w:t>
            </w:r>
          </w:p>
        </w:tc>
      </w:tr>
      <w:tr w:rsidR="00882EBB" w:rsidRPr="00755B91" w14:paraId="28E8FE31"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5A7BB1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San Antonio de Areco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03AF1"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111.088.944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1F92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111.088.944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F4F11"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313D7D47"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D6C6E6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lastRenderedPageBreak/>
              <w:t>San Juan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51029"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3.075.859.303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9B01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3.060.455.788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528D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99,50%</w:t>
            </w:r>
          </w:p>
        </w:tc>
      </w:tr>
      <w:tr w:rsidR="00882EBB" w:rsidRPr="00755B91" w14:paraId="13F52443"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1EFBE237"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San Luis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20E27"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1.919.692.904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5D484"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1.913.109.779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6D0C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99,66%</w:t>
            </w:r>
          </w:p>
        </w:tc>
      </w:tr>
      <w:tr w:rsidR="00882EBB" w:rsidRPr="00755B91" w14:paraId="594244A2"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E7CE55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San Martín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84ED8"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1.451.312.753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58C7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1.381.139.573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9619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95,16%</w:t>
            </w:r>
          </w:p>
        </w:tc>
      </w:tr>
      <w:tr w:rsidR="00882EBB" w:rsidRPr="00755B91" w14:paraId="467757CF"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E4FE613"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Santiago del Estero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A3DF8"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1.109.876.908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82F7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1.099.099.796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25A1A"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99,03%</w:t>
            </w:r>
          </w:p>
        </w:tc>
      </w:tr>
      <w:tr w:rsidR="00882EBB" w:rsidRPr="00755B91" w14:paraId="2034FF4A"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6B707B29"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Scalabrini Ortiz</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1C15D"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56.150.000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3F528"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56.150.000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100B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515E839D"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C32841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Sur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12CE9"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2.090.216.485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4AAF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2.077.686.462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02BD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99,40%</w:t>
            </w:r>
          </w:p>
        </w:tc>
      </w:tr>
      <w:tr w:rsidR="00882EBB" w:rsidRPr="00755B91" w14:paraId="66090D62"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1EBF3FB"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Tecnológica Nacional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BA4C6"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6.894.657.597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D097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6.882.426.745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FC86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99,82%</w:t>
            </w:r>
          </w:p>
        </w:tc>
      </w:tr>
      <w:tr w:rsidR="00882EBB" w:rsidRPr="00755B91" w14:paraId="4F7DD454"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0453584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Tierra del Fuego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D3518"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458.483.516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A82C7"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458.483.516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7FAD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55AD4C32"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29478165"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Tres de Febrero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BC23B"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821.108.373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7104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800.932.962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91CA8"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97,54%</w:t>
            </w:r>
          </w:p>
        </w:tc>
      </w:tr>
      <w:tr w:rsidR="00882EBB" w:rsidRPr="00755B91" w14:paraId="17EC91B9"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7450FAF8"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Tucumán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8F002"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5.154.193.049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C5692"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5.154.193.049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1CA59"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100,00%</w:t>
            </w:r>
          </w:p>
        </w:tc>
      </w:tr>
      <w:tr w:rsidR="00882EBB" w:rsidRPr="00755B91" w14:paraId="123A064E"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699F346E"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Villa María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B5214"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712.465.791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8953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701.249.175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24C68"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98,43%</w:t>
            </w:r>
          </w:p>
        </w:tc>
      </w:tr>
      <w:tr w:rsidR="00882EBB" w:rsidRPr="00755B91" w14:paraId="0E56ECDA"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57108D9D"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Villa Mercedes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5B17A"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177.187.758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66F50"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170.781.026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9094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96,38%</w:t>
            </w:r>
          </w:p>
        </w:tc>
      </w:tr>
      <w:tr w:rsidR="00882EBB" w:rsidRPr="00755B91" w14:paraId="1FA44C9E" w14:textId="77777777" w:rsidTr="00882EBB">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14:paraId="37C90FC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Sin discriminar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03CE9"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7.600.995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D7FC6"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 xml:space="preserve">                       3.204.000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BB38F" w14:textId="77777777" w:rsidR="00882EBB" w:rsidRPr="00FA384A" w:rsidRDefault="00882EBB" w:rsidP="00755B91">
            <w:pPr>
              <w:spacing w:after="0" w:line="360" w:lineRule="auto"/>
              <w:jc w:val="both"/>
              <w:rPr>
                <w:rFonts w:cstheme="minorHAnsi"/>
                <w:sz w:val="20"/>
                <w:szCs w:val="20"/>
              </w:rPr>
            </w:pPr>
            <w:r w:rsidRPr="00FA384A">
              <w:rPr>
                <w:rFonts w:cstheme="minorHAnsi"/>
                <w:sz w:val="20"/>
                <w:szCs w:val="20"/>
              </w:rPr>
              <w:t>42,15%</w:t>
            </w:r>
          </w:p>
        </w:tc>
      </w:tr>
      <w:tr w:rsidR="00882EBB" w:rsidRPr="00755B91" w14:paraId="760BA9B9" w14:textId="77777777" w:rsidTr="00B20C46">
        <w:trPr>
          <w:trHeight w:val="2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D1C10CD"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D8CA6"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109.338.333.765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97FAA"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 xml:space="preserve">           108.892.819.978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381E8" w14:textId="77777777" w:rsidR="00882EBB" w:rsidRPr="00FA384A" w:rsidRDefault="00882EBB" w:rsidP="00755B91">
            <w:pPr>
              <w:spacing w:after="0" w:line="360" w:lineRule="auto"/>
              <w:jc w:val="both"/>
              <w:rPr>
                <w:rFonts w:cstheme="minorHAnsi"/>
                <w:b/>
                <w:bCs/>
                <w:sz w:val="20"/>
                <w:szCs w:val="20"/>
              </w:rPr>
            </w:pPr>
            <w:r w:rsidRPr="00FA384A">
              <w:rPr>
                <w:rFonts w:cstheme="minorHAnsi"/>
                <w:b/>
                <w:bCs/>
                <w:sz w:val="20"/>
                <w:szCs w:val="20"/>
              </w:rPr>
              <w:t>99,59%</w:t>
            </w:r>
          </w:p>
        </w:tc>
      </w:tr>
    </w:tbl>
    <w:p w14:paraId="387B1592" w14:textId="18A74D28" w:rsidR="00514DCF" w:rsidRPr="00FA384A" w:rsidRDefault="00B0230A" w:rsidP="00FA384A">
      <w:pPr>
        <w:spacing w:after="0" w:line="240" w:lineRule="auto"/>
        <w:jc w:val="both"/>
        <w:rPr>
          <w:rFonts w:cstheme="minorHAnsi"/>
          <w:bCs/>
          <w:sz w:val="20"/>
          <w:szCs w:val="20"/>
        </w:rPr>
      </w:pPr>
      <w:r w:rsidRPr="00FA384A">
        <w:rPr>
          <w:rFonts w:cstheme="minorHAnsi"/>
          <w:bCs/>
          <w:sz w:val="20"/>
          <w:szCs w:val="20"/>
        </w:rPr>
        <w:t>Tabla 3: Recursos del Tesoro Nacional y Recursos Propios las universidades públicas</w:t>
      </w:r>
      <w:r w:rsidR="00FA384A">
        <w:rPr>
          <w:rFonts w:cstheme="minorHAnsi"/>
          <w:bCs/>
          <w:sz w:val="20"/>
          <w:szCs w:val="20"/>
        </w:rPr>
        <w:t xml:space="preserve">. </w:t>
      </w:r>
      <w:r w:rsidR="00514DCF" w:rsidRPr="00FA384A">
        <w:rPr>
          <w:rFonts w:cstheme="minorHAnsi"/>
          <w:bCs/>
          <w:sz w:val="20"/>
          <w:szCs w:val="20"/>
        </w:rPr>
        <w:t xml:space="preserve">Fuente: </w:t>
      </w:r>
      <w:r w:rsidR="002637E3" w:rsidRPr="00FA384A">
        <w:rPr>
          <w:rFonts w:cstheme="minorHAnsi"/>
          <w:bCs/>
          <w:sz w:val="20"/>
          <w:szCs w:val="20"/>
        </w:rPr>
        <w:t xml:space="preserve">Elaboración propia con datos de la </w:t>
      </w:r>
      <w:r w:rsidR="00514DCF" w:rsidRPr="00FA384A">
        <w:rPr>
          <w:rFonts w:cstheme="minorHAnsi"/>
          <w:bCs/>
          <w:sz w:val="20"/>
          <w:szCs w:val="20"/>
        </w:rPr>
        <w:t>Secretaría de Políticas Universitarias (SPU)-Ministerio de Educación, Cultura, Ciencia y Tecnología. Año 2018</w:t>
      </w:r>
    </w:p>
    <w:p w14:paraId="64F74326" w14:textId="77777777" w:rsidR="00520E74" w:rsidRPr="00755B91" w:rsidRDefault="00520E74" w:rsidP="00FA384A">
      <w:pPr>
        <w:spacing w:after="0" w:line="360" w:lineRule="auto"/>
        <w:ind w:firstLine="567"/>
        <w:jc w:val="both"/>
        <w:rPr>
          <w:rFonts w:cstheme="minorHAnsi"/>
          <w:lang w:val="es-ES_tradnl"/>
        </w:rPr>
      </w:pPr>
    </w:p>
    <w:p w14:paraId="7CD80316" w14:textId="77777777" w:rsidR="006D76D8" w:rsidRPr="00755B91" w:rsidRDefault="006D76D8" w:rsidP="00FA384A">
      <w:pPr>
        <w:spacing w:after="0" w:line="360" w:lineRule="auto"/>
        <w:ind w:firstLine="567"/>
        <w:jc w:val="both"/>
        <w:rPr>
          <w:rFonts w:cstheme="minorHAnsi"/>
          <w:lang w:val="es-ES_tradnl"/>
        </w:rPr>
      </w:pPr>
      <w:r w:rsidRPr="00755B91">
        <w:rPr>
          <w:rFonts w:cstheme="minorHAnsi"/>
          <w:lang w:val="es-ES_tradnl"/>
        </w:rPr>
        <w:t xml:space="preserve">En Argentina se advierte que no existen estrategias para la asignación de recursos </w:t>
      </w:r>
      <w:r w:rsidR="00CB4EB1" w:rsidRPr="00755B91">
        <w:rPr>
          <w:rFonts w:cstheme="minorHAnsi"/>
          <w:lang w:val="es-ES_tradnl"/>
        </w:rPr>
        <w:t>a las universidades</w:t>
      </w:r>
      <w:r w:rsidR="00BA61F1" w:rsidRPr="00755B91">
        <w:rPr>
          <w:rFonts w:cstheme="minorHAnsi"/>
          <w:lang w:val="es-ES_tradnl"/>
        </w:rPr>
        <w:t xml:space="preserve"> públicas</w:t>
      </w:r>
      <w:r w:rsidR="00CB4EB1" w:rsidRPr="00755B91">
        <w:rPr>
          <w:rFonts w:cstheme="minorHAnsi"/>
          <w:lang w:val="es-ES_tradnl"/>
        </w:rPr>
        <w:t>,</w:t>
      </w:r>
      <w:r w:rsidR="00CB4EB1" w:rsidRPr="00755B91">
        <w:rPr>
          <w:rFonts w:cstheme="minorHAnsi"/>
          <w:color w:val="0000FF"/>
          <w:lang w:val="es-ES_tradnl"/>
        </w:rPr>
        <w:t xml:space="preserve"> </w:t>
      </w:r>
      <w:r w:rsidRPr="00755B91">
        <w:rPr>
          <w:rFonts w:cstheme="minorHAnsi"/>
          <w:lang w:val="es-ES_tradnl"/>
        </w:rPr>
        <w:t xml:space="preserve">la mayoría de la matrícula de los estudiantes se concentra en las carreras tradicionales </w:t>
      </w:r>
      <w:r w:rsidR="00CB4EB1" w:rsidRPr="00755B91">
        <w:rPr>
          <w:rFonts w:cstheme="minorHAnsi"/>
          <w:lang w:val="es-ES_tradnl"/>
        </w:rPr>
        <w:t>de ciencias sociales</w:t>
      </w:r>
      <w:r w:rsidR="00CB4EB1" w:rsidRPr="00755B91">
        <w:rPr>
          <w:rFonts w:cstheme="minorHAnsi"/>
          <w:b/>
          <w:lang w:val="es-ES_tradnl"/>
        </w:rPr>
        <w:t xml:space="preserve"> </w:t>
      </w:r>
      <w:r w:rsidRPr="00755B91">
        <w:rPr>
          <w:rFonts w:cstheme="minorHAnsi"/>
          <w:lang w:val="es-ES_tradnl"/>
        </w:rPr>
        <w:t>y los recursos se destinan</w:t>
      </w:r>
      <w:r w:rsidR="00CB4EB1" w:rsidRPr="00755B91">
        <w:rPr>
          <w:rFonts w:cstheme="minorHAnsi"/>
          <w:lang w:val="es-ES_tradnl"/>
        </w:rPr>
        <w:t xml:space="preserve"> mayoritariamente a estas áreas del </w:t>
      </w:r>
      <w:r w:rsidR="008E4EB3" w:rsidRPr="00755B91">
        <w:rPr>
          <w:rFonts w:cstheme="minorHAnsi"/>
          <w:lang w:val="es-ES_tradnl"/>
        </w:rPr>
        <w:t>conocimiento</w:t>
      </w:r>
      <w:r w:rsidR="00CB4EB1" w:rsidRPr="00755B91">
        <w:rPr>
          <w:rFonts w:cstheme="minorHAnsi"/>
          <w:lang w:val="es-ES_tradnl"/>
        </w:rPr>
        <w:t>.</w:t>
      </w:r>
    </w:p>
    <w:p w14:paraId="05FB4D9E" w14:textId="77777777" w:rsidR="00962BEC" w:rsidRPr="00755B91" w:rsidRDefault="008D2C6F" w:rsidP="00FA384A">
      <w:pPr>
        <w:spacing w:after="0" w:line="360" w:lineRule="auto"/>
        <w:ind w:firstLine="567"/>
        <w:jc w:val="both"/>
        <w:rPr>
          <w:rFonts w:cstheme="minorHAnsi"/>
          <w:lang w:val="es-ES_tradnl"/>
        </w:rPr>
      </w:pPr>
      <w:r w:rsidRPr="00755B91">
        <w:rPr>
          <w:rFonts w:cstheme="minorHAnsi"/>
          <w:lang w:val="es-ES_tradnl"/>
        </w:rPr>
        <w:t>C</w:t>
      </w:r>
      <w:r w:rsidR="00BA3495" w:rsidRPr="00755B91">
        <w:rPr>
          <w:rFonts w:cstheme="minorHAnsi"/>
          <w:lang w:val="es-ES_tradnl"/>
        </w:rPr>
        <w:t>omo se ha señalado en la introducción de este artículo, l</w:t>
      </w:r>
      <w:r w:rsidR="00537DE3" w:rsidRPr="00755B91">
        <w:rPr>
          <w:rFonts w:cstheme="minorHAnsi"/>
          <w:lang w:val="es-ES_tradnl"/>
        </w:rPr>
        <w:t xml:space="preserve">os resultados obtenidos surgen de analizar </w:t>
      </w:r>
      <w:r w:rsidR="00164A4C" w:rsidRPr="00755B91">
        <w:rPr>
          <w:rFonts w:cstheme="minorHAnsi"/>
          <w:lang w:val="es-ES_tradnl"/>
        </w:rPr>
        <w:t xml:space="preserve">inicialmente </w:t>
      </w:r>
      <w:r w:rsidR="00962BEC" w:rsidRPr="00755B91">
        <w:rPr>
          <w:rFonts w:cstheme="minorHAnsi"/>
          <w:lang w:val="es-ES_tradnl"/>
        </w:rPr>
        <w:t xml:space="preserve">las </w:t>
      </w:r>
      <w:r w:rsidR="00A3340C" w:rsidRPr="00755B91">
        <w:rPr>
          <w:rFonts w:cstheme="minorHAnsi"/>
          <w:lang w:val="es-ES_tradnl"/>
        </w:rPr>
        <w:t>57</w:t>
      </w:r>
      <w:r w:rsidR="00962BEC" w:rsidRPr="00755B91">
        <w:rPr>
          <w:rFonts w:cstheme="minorHAnsi"/>
          <w:lang w:val="es-ES_tradnl"/>
        </w:rPr>
        <w:t xml:space="preserve"> universidades del Sistema Universitario Público de Argentina</w:t>
      </w:r>
      <w:r w:rsidR="00164A4C" w:rsidRPr="00755B91">
        <w:rPr>
          <w:rFonts w:cstheme="minorHAnsi"/>
          <w:lang w:val="es-ES_tradnl"/>
        </w:rPr>
        <w:t>, de las cuales</w:t>
      </w:r>
      <w:r w:rsidR="00927A69" w:rsidRPr="00755B91">
        <w:rPr>
          <w:rFonts w:cstheme="minorHAnsi"/>
          <w:lang w:val="es-ES_tradnl"/>
        </w:rPr>
        <w:t xml:space="preserve"> se excluyen </w:t>
      </w:r>
      <w:r w:rsidR="00C82C71" w:rsidRPr="00755B91">
        <w:rPr>
          <w:rFonts w:cstheme="minorHAnsi"/>
          <w:lang w:val="es-ES_tradnl"/>
        </w:rPr>
        <w:t>5</w:t>
      </w:r>
      <w:r w:rsidR="00962BEC" w:rsidRPr="00755B91">
        <w:rPr>
          <w:rFonts w:cstheme="minorHAnsi"/>
          <w:lang w:val="es-ES_tradnl"/>
        </w:rPr>
        <w:t xml:space="preserve"> por falta de información, de modo que la población total investigada comprende</w:t>
      </w:r>
      <w:r w:rsidR="00962BEC" w:rsidRPr="00755B91">
        <w:rPr>
          <w:rFonts w:cstheme="minorHAnsi"/>
        </w:rPr>
        <w:t xml:space="preserve"> 5</w:t>
      </w:r>
      <w:r w:rsidR="00A3340C" w:rsidRPr="00755B91">
        <w:rPr>
          <w:rFonts w:cstheme="minorHAnsi"/>
        </w:rPr>
        <w:t>2</w:t>
      </w:r>
      <w:r w:rsidR="00962BEC" w:rsidRPr="00755B91">
        <w:rPr>
          <w:rFonts w:cstheme="minorHAnsi"/>
        </w:rPr>
        <w:t xml:space="preserve"> universidades </w:t>
      </w:r>
      <w:r w:rsidR="00BA3495" w:rsidRPr="00755B91">
        <w:rPr>
          <w:rFonts w:cstheme="minorHAnsi"/>
        </w:rPr>
        <w:t>de gestión pública</w:t>
      </w:r>
      <w:r w:rsidR="00962BEC" w:rsidRPr="00755B91">
        <w:rPr>
          <w:rFonts w:cstheme="minorHAnsi"/>
        </w:rPr>
        <w:t xml:space="preserve">. </w:t>
      </w:r>
    </w:p>
    <w:p w14:paraId="14DD6C29" w14:textId="77777777" w:rsidR="00A41644" w:rsidRPr="00755B91" w:rsidRDefault="0013608D" w:rsidP="00FA384A">
      <w:pPr>
        <w:spacing w:after="0" w:line="360" w:lineRule="auto"/>
        <w:ind w:firstLine="567"/>
        <w:jc w:val="both"/>
        <w:rPr>
          <w:rFonts w:cstheme="minorHAnsi"/>
          <w:lang w:val="es-ES_tradnl"/>
        </w:rPr>
      </w:pPr>
      <w:r w:rsidRPr="00755B91">
        <w:rPr>
          <w:rFonts w:cstheme="minorHAnsi"/>
          <w:lang w:val="es-ES_tradnl"/>
        </w:rPr>
        <w:t xml:space="preserve">Se pretende que </w:t>
      </w:r>
      <w:r w:rsidR="00112479" w:rsidRPr="00755B91">
        <w:rPr>
          <w:rFonts w:cstheme="minorHAnsi"/>
          <w:lang w:val="es-ES_tradnl"/>
        </w:rPr>
        <w:t>los</w:t>
      </w:r>
      <w:r w:rsidRPr="00755B91">
        <w:rPr>
          <w:rFonts w:cstheme="minorHAnsi"/>
          <w:lang w:val="es-ES_tradnl"/>
        </w:rPr>
        <w:t xml:space="preserve"> resultados </w:t>
      </w:r>
      <w:r w:rsidR="00112479" w:rsidRPr="00755B91">
        <w:rPr>
          <w:rFonts w:cstheme="minorHAnsi"/>
          <w:lang w:val="es-ES_tradnl"/>
        </w:rPr>
        <w:t>de est</w:t>
      </w:r>
      <w:r w:rsidR="00191BFE" w:rsidRPr="00755B91">
        <w:rPr>
          <w:rFonts w:cstheme="minorHAnsi"/>
          <w:lang w:val="es-ES_tradnl"/>
        </w:rPr>
        <w:t>e</w:t>
      </w:r>
      <w:r w:rsidR="00112479" w:rsidRPr="00755B91">
        <w:rPr>
          <w:rFonts w:cstheme="minorHAnsi"/>
          <w:lang w:val="es-ES_tradnl"/>
        </w:rPr>
        <w:t xml:space="preserve"> análisis </w:t>
      </w:r>
      <w:r w:rsidRPr="00755B91">
        <w:rPr>
          <w:rFonts w:cstheme="minorHAnsi"/>
          <w:lang w:val="es-ES_tradnl"/>
        </w:rPr>
        <w:t xml:space="preserve">generen un aporte de información relevante que facilite tanto al Estado Nacional argentino como a las propias universidades </w:t>
      </w:r>
      <w:r w:rsidR="004264C5" w:rsidRPr="00755B91">
        <w:rPr>
          <w:rFonts w:cstheme="minorHAnsi"/>
          <w:lang w:val="es-ES_tradnl"/>
        </w:rPr>
        <w:t xml:space="preserve">la </w:t>
      </w:r>
      <w:r w:rsidR="00230845" w:rsidRPr="00755B91">
        <w:rPr>
          <w:rFonts w:cstheme="minorHAnsi"/>
          <w:lang w:val="es-ES_tradnl"/>
        </w:rPr>
        <w:t>planificación</w:t>
      </w:r>
      <w:r w:rsidR="004264C5" w:rsidRPr="00755B91">
        <w:rPr>
          <w:rFonts w:cstheme="minorHAnsi"/>
          <w:lang w:val="es-ES_tradnl"/>
        </w:rPr>
        <w:t xml:space="preserve"> </w:t>
      </w:r>
      <w:r w:rsidRPr="00755B91">
        <w:rPr>
          <w:rFonts w:cstheme="minorHAnsi"/>
          <w:lang w:val="es-ES_tradnl"/>
        </w:rPr>
        <w:t xml:space="preserve">de políticas de mejora en la gestión de los recursos públicos destinados </w:t>
      </w:r>
      <w:r w:rsidR="00BA3495" w:rsidRPr="00755B91">
        <w:rPr>
          <w:rFonts w:cstheme="minorHAnsi"/>
          <w:lang w:val="es-ES_tradnl"/>
        </w:rPr>
        <w:t>a la “Partida de Personal” del presupuesto asignado al sistema universitario de gestión pública.</w:t>
      </w:r>
    </w:p>
    <w:p w14:paraId="0D8B187F" w14:textId="77777777" w:rsidR="00AB2A50" w:rsidRPr="00755B91" w:rsidRDefault="00AB2A50" w:rsidP="00FA384A">
      <w:pPr>
        <w:spacing w:after="0" w:line="360" w:lineRule="auto"/>
        <w:ind w:firstLine="567"/>
        <w:jc w:val="both"/>
        <w:rPr>
          <w:rFonts w:cstheme="minorHAnsi"/>
          <w:b/>
        </w:rPr>
      </w:pPr>
    </w:p>
    <w:p w14:paraId="649EEE32" w14:textId="77777777" w:rsidR="005B5349" w:rsidRPr="00755B91" w:rsidRDefault="005B5349" w:rsidP="00FA384A">
      <w:pPr>
        <w:spacing w:after="0" w:line="360" w:lineRule="auto"/>
        <w:ind w:firstLine="567"/>
        <w:jc w:val="both"/>
        <w:rPr>
          <w:rFonts w:cstheme="minorHAnsi"/>
          <w:b/>
        </w:rPr>
      </w:pPr>
    </w:p>
    <w:p w14:paraId="65136E73" w14:textId="4024ECE0" w:rsidR="00A947C2" w:rsidRPr="00755B91" w:rsidRDefault="00B20C46" w:rsidP="00FA384A">
      <w:pPr>
        <w:spacing w:after="0" w:line="360" w:lineRule="auto"/>
        <w:ind w:firstLine="284"/>
        <w:jc w:val="both"/>
        <w:rPr>
          <w:rFonts w:cstheme="minorHAnsi"/>
          <w:b/>
        </w:rPr>
      </w:pPr>
      <w:r w:rsidRPr="00755B91">
        <w:rPr>
          <w:rFonts w:cstheme="minorHAnsi"/>
          <w:b/>
        </w:rPr>
        <w:t>Objetivos</w:t>
      </w:r>
    </w:p>
    <w:p w14:paraId="3581149C" w14:textId="77777777" w:rsidR="00456577" w:rsidRPr="00FA384A" w:rsidRDefault="00892836" w:rsidP="00FA384A">
      <w:pPr>
        <w:spacing w:after="0" w:line="360" w:lineRule="auto"/>
        <w:ind w:firstLine="567"/>
        <w:jc w:val="both"/>
        <w:rPr>
          <w:rFonts w:cstheme="minorHAnsi"/>
          <w:bCs/>
          <w:u w:val="single"/>
        </w:rPr>
      </w:pPr>
      <w:r w:rsidRPr="00FA384A">
        <w:rPr>
          <w:rFonts w:cstheme="minorHAnsi"/>
          <w:bCs/>
          <w:u w:val="single"/>
        </w:rPr>
        <w:t xml:space="preserve">Objetivo </w:t>
      </w:r>
      <w:r w:rsidR="005E7BFB" w:rsidRPr="00FA384A">
        <w:rPr>
          <w:rFonts w:cstheme="minorHAnsi"/>
          <w:bCs/>
          <w:u w:val="single"/>
        </w:rPr>
        <w:t>g</w:t>
      </w:r>
      <w:r w:rsidRPr="00FA384A">
        <w:rPr>
          <w:rFonts w:cstheme="minorHAnsi"/>
          <w:bCs/>
          <w:u w:val="single"/>
        </w:rPr>
        <w:t>eneral</w:t>
      </w:r>
    </w:p>
    <w:p w14:paraId="34006E8D" w14:textId="77777777" w:rsidR="00A07821" w:rsidRPr="00755B91" w:rsidRDefault="00C21310" w:rsidP="00FA384A">
      <w:pPr>
        <w:spacing w:after="0" w:line="360" w:lineRule="auto"/>
        <w:ind w:firstLine="567"/>
        <w:jc w:val="both"/>
        <w:rPr>
          <w:rFonts w:cstheme="minorHAnsi"/>
          <w:lang w:val="es-ES_tradnl"/>
        </w:rPr>
      </w:pPr>
      <w:r w:rsidRPr="00755B91">
        <w:rPr>
          <w:rFonts w:cstheme="minorHAnsi"/>
          <w:lang w:val="es-ES_tradnl"/>
        </w:rPr>
        <w:t>El objetivo general</w:t>
      </w:r>
      <w:r w:rsidR="00B86484" w:rsidRPr="00755B91">
        <w:rPr>
          <w:rFonts w:cstheme="minorHAnsi"/>
          <w:lang w:val="es-ES_tradnl"/>
        </w:rPr>
        <w:t xml:space="preserve"> </w:t>
      </w:r>
      <w:r w:rsidRPr="00755B91">
        <w:rPr>
          <w:rFonts w:cstheme="minorHAnsi"/>
          <w:lang w:val="es-ES_tradnl"/>
        </w:rPr>
        <w:t xml:space="preserve">de este trabajo es </w:t>
      </w:r>
      <w:r w:rsidR="00B86484" w:rsidRPr="00755B91">
        <w:rPr>
          <w:rFonts w:cstheme="minorHAnsi"/>
          <w:lang w:val="es-ES_tradnl"/>
        </w:rPr>
        <w:t xml:space="preserve">evaluar la eficiencia de la inversión pública en </w:t>
      </w:r>
      <w:r w:rsidR="00715E78" w:rsidRPr="00755B91">
        <w:rPr>
          <w:rFonts w:cstheme="minorHAnsi"/>
          <w:lang w:val="es-ES_tradnl"/>
        </w:rPr>
        <w:t>la ejecución de la partida de</w:t>
      </w:r>
      <w:r w:rsidR="00E327D9" w:rsidRPr="00755B91">
        <w:rPr>
          <w:rFonts w:cstheme="minorHAnsi"/>
          <w:lang w:val="es-ES_tradnl"/>
        </w:rPr>
        <w:t xml:space="preserve"> </w:t>
      </w:r>
      <w:r w:rsidR="00AE7FA4" w:rsidRPr="00755B91">
        <w:rPr>
          <w:rFonts w:cstheme="minorHAnsi"/>
          <w:lang w:val="es-ES_tradnl"/>
        </w:rPr>
        <w:t>“</w:t>
      </w:r>
      <w:r w:rsidR="00B86484" w:rsidRPr="00755B91">
        <w:rPr>
          <w:rFonts w:cstheme="minorHAnsi"/>
          <w:lang w:val="es-ES_tradnl"/>
        </w:rPr>
        <w:t xml:space="preserve">Personal” de las carreras de pregrado y grado del Sistema Universitario Público de Argentina. </w:t>
      </w:r>
    </w:p>
    <w:p w14:paraId="0F9DF4D0" w14:textId="77777777" w:rsidR="006D4330" w:rsidRPr="00755B91" w:rsidRDefault="006D4330" w:rsidP="00FA384A">
      <w:pPr>
        <w:spacing w:after="0" w:line="360" w:lineRule="auto"/>
        <w:ind w:firstLine="567"/>
        <w:jc w:val="both"/>
        <w:rPr>
          <w:rFonts w:cstheme="minorHAnsi"/>
          <w:lang w:val="es-ES_tradnl"/>
        </w:rPr>
      </w:pPr>
      <w:r w:rsidRPr="00755B91">
        <w:rPr>
          <w:rFonts w:cstheme="minorHAnsi"/>
          <w:lang w:val="es-ES_tradnl"/>
        </w:rPr>
        <w:lastRenderedPageBreak/>
        <w:t>El presupuesto de</w:t>
      </w:r>
      <w:r w:rsidR="00AE7FA4" w:rsidRPr="00755B91">
        <w:rPr>
          <w:rFonts w:cstheme="minorHAnsi"/>
          <w:lang w:val="es-ES_tradnl"/>
        </w:rPr>
        <w:t>l</w:t>
      </w:r>
      <w:r w:rsidR="00FE75B4" w:rsidRPr="00755B91">
        <w:rPr>
          <w:rFonts w:cstheme="minorHAnsi"/>
          <w:lang w:val="es-ES_tradnl"/>
        </w:rPr>
        <w:t xml:space="preserve"> </w:t>
      </w:r>
      <w:r w:rsidR="00AE7FA4" w:rsidRPr="00755B91">
        <w:rPr>
          <w:rFonts w:cstheme="minorHAnsi"/>
          <w:lang w:val="es-ES_tradnl"/>
        </w:rPr>
        <w:t>inciso “</w:t>
      </w:r>
      <w:r w:rsidRPr="00755B91">
        <w:rPr>
          <w:rFonts w:cstheme="minorHAnsi"/>
          <w:lang w:val="es-ES_tradnl"/>
        </w:rPr>
        <w:t xml:space="preserve">Personal” está compuesto por los recursos monetarios destinados al pago de sueldos </w:t>
      </w:r>
      <w:r w:rsidR="00954A87" w:rsidRPr="00755B91">
        <w:rPr>
          <w:rFonts w:cstheme="minorHAnsi"/>
          <w:lang w:val="es-ES_tradnl"/>
        </w:rPr>
        <w:t>y cargas sociales del personal d</w:t>
      </w:r>
      <w:r w:rsidRPr="00755B91">
        <w:rPr>
          <w:rFonts w:cstheme="minorHAnsi"/>
          <w:lang w:val="es-ES_tradnl"/>
        </w:rPr>
        <w:t>ocente</w:t>
      </w:r>
      <w:r w:rsidR="00954A87" w:rsidRPr="00755B91">
        <w:rPr>
          <w:rFonts w:cstheme="minorHAnsi"/>
          <w:lang w:val="es-ES_tradnl"/>
        </w:rPr>
        <w:t>,</w:t>
      </w:r>
      <w:r w:rsidRPr="00755B91">
        <w:rPr>
          <w:rFonts w:cstheme="minorHAnsi"/>
          <w:lang w:val="es-ES_tradnl"/>
        </w:rPr>
        <w:t xml:space="preserve"> </w:t>
      </w:r>
      <w:r w:rsidR="00954A87" w:rsidRPr="00755B91">
        <w:rPr>
          <w:rFonts w:cstheme="minorHAnsi"/>
          <w:lang w:val="es-ES_tradnl"/>
        </w:rPr>
        <w:t>autoridades y p</w:t>
      </w:r>
      <w:r w:rsidRPr="00755B91">
        <w:rPr>
          <w:rFonts w:cstheme="minorHAnsi"/>
          <w:lang w:val="es-ES_tradnl"/>
        </w:rPr>
        <w:t xml:space="preserve">ersonal </w:t>
      </w:r>
      <w:r w:rsidR="00954A87" w:rsidRPr="00755B91">
        <w:rPr>
          <w:rFonts w:cstheme="minorHAnsi"/>
          <w:lang w:val="es-ES_tradnl"/>
        </w:rPr>
        <w:t>administrativo y de servicios (</w:t>
      </w:r>
      <w:r w:rsidR="00A07821" w:rsidRPr="00755B91">
        <w:rPr>
          <w:rFonts w:cstheme="minorHAnsi"/>
          <w:lang w:val="es-ES_tradnl"/>
        </w:rPr>
        <w:t>también denominado p</w:t>
      </w:r>
      <w:r w:rsidR="00954A87" w:rsidRPr="00755B91">
        <w:rPr>
          <w:rFonts w:cstheme="minorHAnsi"/>
          <w:lang w:val="es-ES_tradnl"/>
        </w:rPr>
        <w:t xml:space="preserve">ersonal de apoyo universitario - </w:t>
      </w:r>
      <w:r w:rsidR="00A07821" w:rsidRPr="00755B91">
        <w:rPr>
          <w:rFonts w:cstheme="minorHAnsi"/>
          <w:lang w:val="es-ES_tradnl"/>
        </w:rPr>
        <w:t>PAU).</w:t>
      </w:r>
    </w:p>
    <w:p w14:paraId="39C57E05" w14:textId="77777777" w:rsidR="007461DD" w:rsidRPr="00755B91" w:rsidRDefault="00B86484" w:rsidP="00FA384A">
      <w:pPr>
        <w:spacing w:after="0" w:line="360" w:lineRule="auto"/>
        <w:ind w:firstLine="567"/>
        <w:jc w:val="both"/>
        <w:rPr>
          <w:rFonts w:cstheme="minorHAnsi"/>
          <w:lang w:val="es-ES_tradnl"/>
        </w:rPr>
      </w:pPr>
      <w:r w:rsidRPr="00755B91">
        <w:rPr>
          <w:rFonts w:cstheme="minorHAnsi"/>
          <w:lang w:val="es-ES_tradnl"/>
        </w:rPr>
        <w:t>En este estudio se excluyen los institutos universitarios públicos, las universidades provinciales y las universidades del sector privado argentino.</w:t>
      </w:r>
    </w:p>
    <w:p w14:paraId="1DAF1B0E" w14:textId="77777777" w:rsidR="00B12C47" w:rsidRPr="00FA384A" w:rsidRDefault="00B12C47" w:rsidP="00FA384A">
      <w:pPr>
        <w:spacing w:after="0" w:line="360" w:lineRule="auto"/>
        <w:ind w:firstLine="567"/>
        <w:jc w:val="both"/>
        <w:rPr>
          <w:rFonts w:cstheme="minorHAnsi"/>
          <w:bCs/>
          <w:u w:val="single"/>
        </w:rPr>
      </w:pPr>
      <w:r w:rsidRPr="00FA384A">
        <w:rPr>
          <w:rFonts w:cstheme="minorHAnsi"/>
          <w:bCs/>
          <w:u w:val="single"/>
        </w:rPr>
        <w:t xml:space="preserve">Objetivos </w:t>
      </w:r>
      <w:r w:rsidR="005E7BFB" w:rsidRPr="00FA384A">
        <w:rPr>
          <w:rFonts w:cstheme="minorHAnsi"/>
          <w:bCs/>
          <w:u w:val="single"/>
        </w:rPr>
        <w:t>e</w:t>
      </w:r>
      <w:r w:rsidRPr="00FA384A">
        <w:rPr>
          <w:rFonts w:cstheme="minorHAnsi"/>
          <w:bCs/>
          <w:u w:val="single"/>
        </w:rPr>
        <w:t>specíficos</w:t>
      </w:r>
    </w:p>
    <w:p w14:paraId="61AD9D35" w14:textId="33B3EC78" w:rsidR="00456577" w:rsidRPr="00FA384A" w:rsidRDefault="008D27BB" w:rsidP="00FA384A">
      <w:pPr>
        <w:spacing w:after="0" w:line="360" w:lineRule="auto"/>
        <w:ind w:firstLine="567"/>
        <w:jc w:val="both"/>
        <w:rPr>
          <w:rFonts w:cstheme="minorHAnsi"/>
          <w:bCs/>
          <w:lang w:val="es-ES_tradnl"/>
        </w:rPr>
      </w:pPr>
      <w:r w:rsidRPr="00FA384A">
        <w:rPr>
          <w:rFonts w:cstheme="minorHAnsi"/>
          <w:bCs/>
          <w:lang w:val="es-ES_tradnl"/>
        </w:rPr>
        <w:t>Para la consecución del objetivo general se proponen los siguientes o</w:t>
      </w:r>
      <w:r w:rsidR="00456577" w:rsidRPr="00FA384A">
        <w:rPr>
          <w:rFonts w:cstheme="minorHAnsi"/>
          <w:bCs/>
          <w:lang w:val="es-ES_tradnl"/>
        </w:rPr>
        <w:t>bjetivos específicos:</w:t>
      </w:r>
    </w:p>
    <w:p w14:paraId="5C74F223" w14:textId="77777777" w:rsidR="008033F5" w:rsidRPr="00FA384A" w:rsidRDefault="008033F5" w:rsidP="00FA384A">
      <w:pPr>
        <w:pStyle w:val="Prrafodelista"/>
        <w:numPr>
          <w:ilvl w:val="0"/>
          <w:numId w:val="5"/>
        </w:numPr>
        <w:spacing w:after="0" w:line="360" w:lineRule="auto"/>
        <w:ind w:left="0" w:firstLine="567"/>
        <w:jc w:val="both"/>
        <w:rPr>
          <w:rFonts w:cstheme="minorHAnsi"/>
          <w:bCs/>
          <w:lang w:val="es-ES_tradnl"/>
        </w:rPr>
      </w:pPr>
      <w:r w:rsidRPr="00FA384A">
        <w:rPr>
          <w:rFonts w:cstheme="minorHAnsi"/>
          <w:bCs/>
          <w:lang w:val="es-ES_tradnl"/>
        </w:rPr>
        <w:t>Determinación de la matrícula de alumnos y cantidad de egre</w:t>
      </w:r>
      <w:r w:rsidR="00A80096" w:rsidRPr="00FA384A">
        <w:rPr>
          <w:rFonts w:cstheme="minorHAnsi"/>
          <w:bCs/>
          <w:lang w:val="es-ES_tradnl"/>
        </w:rPr>
        <w:t>sados</w:t>
      </w:r>
      <w:r w:rsidR="00E12EFC" w:rsidRPr="00FA384A">
        <w:rPr>
          <w:rFonts w:cstheme="minorHAnsi"/>
          <w:bCs/>
          <w:lang w:val="es-ES_tradnl"/>
        </w:rPr>
        <w:t xml:space="preserve"> de las carreras de grado y pregrado.</w:t>
      </w:r>
    </w:p>
    <w:p w14:paraId="0D7A1A89" w14:textId="77777777" w:rsidR="00E0533B" w:rsidRPr="00FA384A" w:rsidRDefault="00E0533B" w:rsidP="00FA384A">
      <w:pPr>
        <w:pStyle w:val="Prrafodelista"/>
        <w:numPr>
          <w:ilvl w:val="0"/>
          <w:numId w:val="5"/>
        </w:numPr>
        <w:spacing w:after="0" w:line="360" w:lineRule="auto"/>
        <w:ind w:left="0" w:firstLine="567"/>
        <w:jc w:val="both"/>
        <w:rPr>
          <w:rFonts w:cstheme="minorHAnsi"/>
          <w:bCs/>
          <w:lang w:val="es-ES_tradnl"/>
        </w:rPr>
      </w:pPr>
      <w:r w:rsidRPr="00FA384A">
        <w:rPr>
          <w:rFonts w:cstheme="minorHAnsi"/>
          <w:bCs/>
          <w:lang w:val="es-ES_tradnl"/>
        </w:rPr>
        <w:t>Determinación de la cantidad de docentes</w:t>
      </w:r>
      <w:r w:rsidR="00E12EFC" w:rsidRPr="00FA384A">
        <w:rPr>
          <w:rFonts w:cstheme="minorHAnsi"/>
          <w:bCs/>
          <w:lang w:val="es-ES_tradnl"/>
        </w:rPr>
        <w:t>.</w:t>
      </w:r>
      <w:r w:rsidRPr="00FA384A">
        <w:rPr>
          <w:rFonts w:cstheme="minorHAnsi"/>
          <w:bCs/>
          <w:lang w:val="es-ES_tradnl"/>
        </w:rPr>
        <w:t xml:space="preserve"> </w:t>
      </w:r>
    </w:p>
    <w:p w14:paraId="2058A9E0" w14:textId="77777777" w:rsidR="00D930F3" w:rsidRPr="00FA384A" w:rsidRDefault="00D930F3" w:rsidP="00FA384A">
      <w:pPr>
        <w:pStyle w:val="Prrafodelista"/>
        <w:numPr>
          <w:ilvl w:val="0"/>
          <w:numId w:val="5"/>
        </w:numPr>
        <w:spacing w:after="0" w:line="360" w:lineRule="auto"/>
        <w:ind w:left="0" w:firstLine="567"/>
        <w:jc w:val="both"/>
        <w:rPr>
          <w:rFonts w:cstheme="minorHAnsi"/>
          <w:bCs/>
          <w:color w:val="000000" w:themeColor="text1"/>
        </w:rPr>
      </w:pPr>
      <w:r w:rsidRPr="00FA384A">
        <w:rPr>
          <w:rFonts w:cstheme="minorHAnsi"/>
          <w:bCs/>
          <w:color w:val="000000" w:themeColor="text1"/>
        </w:rPr>
        <w:t xml:space="preserve">Análisis del presupuesto </w:t>
      </w:r>
      <w:r w:rsidR="00AE686A" w:rsidRPr="00FA384A">
        <w:rPr>
          <w:rFonts w:cstheme="minorHAnsi"/>
          <w:bCs/>
          <w:color w:val="000000" w:themeColor="text1"/>
        </w:rPr>
        <w:t>ejecutado</w:t>
      </w:r>
      <w:r w:rsidRPr="00FA384A">
        <w:rPr>
          <w:rFonts w:cstheme="minorHAnsi"/>
          <w:bCs/>
          <w:color w:val="000000" w:themeColor="text1"/>
        </w:rPr>
        <w:t xml:space="preserve"> </w:t>
      </w:r>
      <w:r w:rsidR="004A5C6F" w:rsidRPr="00FA384A">
        <w:rPr>
          <w:rFonts w:cstheme="minorHAnsi"/>
          <w:bCs/>
          <w:color w:val="000000" w:themeColor="text1"/>
        </w:rPr>
        <w:t>en</w:t>
      </w:r>
      <w:r w:rsidR="002674A0" w:rsidRPr="00FA384A">
        <w:rPr>
          <w:rFonts w:cstheme="minorHAnsi"/>
          <w:bCs/>
          <w:color w:val="000000" w:themeColor="text1"/>
        </w:rPr>
        <w:t xml:space="preserve"> la partida de</w:t>
      </w:r>
      <w:r w:rsidR="004A5C6F" w:rsidRPr="00FA384A">
        <w:rPr>
          <w:rFonts w:cstheme="minorHAnsi"/>
          <w:bCs/>
          <w:color w:val="000000" w:themeColor="text1"/>
        </w:rPr>
        <w:t xml:space="preserve"> “Personal”</w:t>
      </w:r>
      <w:r w:rsidR="000C531D" w:rsidRPr="00FA384A">
        <w:rPr>
          <w:rFonts w:cstheme="minorHAnsi"/>
          <w:bCs/>
          <w:color w:val="000000" w:themeColor="text1"/>
        </w:rPr>
        <w:t>.</w:t>
      </w:r>
    </w:p>
    <w:p w14:paraId="0479C162" w14:textId="77777777" w:rsidR="005D71BC" w:rsidRPr="00FA384A" w:rsidRDefault="005D71BC" w:rsidP="00FA384A">
      <w:pPr>
        <w:pStyle w:val="Prrafodelista"/>
        <w:numPr>
          <w:ilvl w:val="0"/>
          <w:numId w:val="5"/>
        </w:numPr>
        <w:spacing w:after="0" w:line="360" w:lineRule="auto"/>
        <w:ind w:left="0" w:firstLine="567"/>
        <w:jc w:val="both"/>
        <w:rPr>
          <w:rFonts w:cstheme="minorHAnsi"/>
          <w:bCs/>
        </w:rPr>
      </w:pPr>
      <w:r w:rsidRPr="00FA384A">
        <w:rPr>
          <w:rFonts w:cstheme="minorHAnsi"/>
          <w:bCs/>
        </w:rPr>
        <w:t xml:space="preserve">Análisis de la eficiencia de la inversión </w:t>
      </w:r>
      <w:r w:rsidR="00507A53" w:rsidRPr="00FA384A">
        <w:rPr>
          <w:rFonts w:cstheme="minorHAnsi"/>
          <w:bCs/>
        </w:rPr>
        <w:t>en</w:t>
      </w:r>
      <w:r w:rsidR="004F1FC3" w:rsidRPr="00FA384A">
        <w:rPr>
          <w:rFonts w:cstheme="minorHAnsi"/>
          <w:bCs/>
        </w:rPr>
        <w:t xml:space="preserve"> </w:t>
      </w:r>
      <w:r w:rsidR="00507A53" w:rsidRPr="00FA384A">
        <w:rPr>
          <w:rFonts w:cstheme="minorHAnsi"/>
          <w:bCs/>
        </w:rPr>
        <w:t>“Personal”</w:t>
      </w:r>
      <w:r w:rsidR="000C531D" w:rsidRPr="00FA384A">
        <w:rPr>
          <w:rFonts w:cstheme="minorHAnsi"/>
          <w:bCs/>
        </w:rPr>
        <w:t>.</w:t>
      </w:r>
    </w:p>
    <w:p w14:paraId="4DFC7942" w14:textId="77777777" w:rsidR="00B6219C" w:rsidRPr="00FA384A" w:rsidRDefault="00B6219C" w:rsidP="00FA384A">
      <w:pPr>
        <w:pStyle w:val="Prrafodelista"/>
        <w:spacing w:after="0" w:line="360" w:lineRule="auto"/>
        <w:ind w:left="0" w:firstLine="567"/>
        <w:jc w:val="both"/>
        <w:rPr>
          <w:rFonts w:cstheme="minorHAnsi"/>
          <w:bCs/>
        </w:rPr>
      </w:pPr>
    </w:p>
    <w:p w14:paraId="69C4BCB4" w14:textId="77777777" w:rsidR="00AE52EA" w:rsidRPr="00FA384A" w:rsidRDefault="00AE52EA" w:rsidP="00FA384A">
      <w:pPr>
        <w:spacing w:after="0" w:line="360" w:lineRule="auto"/>
        <w:ind w:firstLine="567"/>
        <w:jc w:val="both"/>
        <w:rPr>
          <w:rFonts w:cstheme="minorHAnsi"/>
          <w:bCs/>
        </w:rPr>
      </w:pPr>
    </w:p>
    <w:p w14:paraId="7486D989" w14:textId="6E356AF7" w:rsidR="005B28B1" w:rsidRPr="00755B91" w:rsidRDefault="00B20C46" w:rsidP="00FA384A">
      <w:pPr>
        <w:spacing w:after="0" w:line="360" w:lineRule="auto"/>
        <w:ind w:firstLine="284"/>
        <w:jc w:val="both"/>
        <w:rPr>
          <w:rFonts w:cstheme="minorHAnsi"/>
          <w:b/>
        </w:rPr>
      </w:pPr>
      <w:r w:rsidRPr="00755B91">
        <w:rPr>
          <w:rFonts w:cstheme="minorHAnsi"/>
          <w:b/>
        </w:rPr>
        <w:t>Metodología</w:t>
      </w:r>
    </w:p>
    <w:p w14:paraId="74545C72" w14:textId="77777777" w:rsidR="006B1E95" w:rsidRPr="00FA384A" w:rsidRDefault="001F6F15" w:rsidP="00FA384A">
      <w:pPr>
        <w:pStyle w:val="Prrafodelista"/>
        <w:spacing w:after="0" w:line="360" w:lineRule="auto"/>
        <w:ind w:left="0" w:firstLine="567"/>
        <w:jc w:val="both"/>
        <w:rPr>
          <w:rFonts w:cstheme="minorHAnsi"/>
          <w:b/>
        </w:rPr>
      </w:pPr>
      <w:r w:rsidRPr="00FA384A">
        <w:rPr>
          <w:rFonts w:cstheme="minorHAnsi"/>
        </w:rPr>
        <w:t>Para</w:t>
      </w:r>
      <w:r w:rsidR="00277B87" w:rsidRPr="00FA384A">
        <w:rPr>
          <w:rFonts w:cstheme="minorHAnsi"/>
        </w:rPr>
        <w:t xml:space="preserve"> analizar la eficiencia por áreas del conocimiento y encontrar las universidades </w:t>
      </w:r>
      <w:r w:rsidR="00B917B3" w:rsidRPr="00FA384A">
        <w:rPr>
          <w:rFonts w:cstheme="minorHAnsi"/>
        </w:rPr>
        <w:t xml:space="preserve">públicas </w:t>
      </w:r>
      <w:r w:rsidR="002F4223" w:rsidRPr="00FA384A">
        <w:rPr>
          <w:rFonts w:cstheme="minorHAnsi"/>
        </w:rPr>
        <w:t>más eficientes</w:t>
      </w:r>
      <w:r w:rsidR="00277B87" w:rsidRPr="00FA384A">
        <w:rPr>
          <w:rFonts w:cstheme="minorHAnsi"/>
        </w:rPr>
        <w:t xml:space="preserve"> en la </w:t>
      </w:r>
      <w:r w:rsidR="00560822" w:rsidRPr="00FA384A">
        <w:rPr>
          <w:rFonts w:cstheme="minorHAnsi"/>
        </w:rPr>
        <w:t>aplicación</w:t>
      </w:r>
      <w:r w:rsidR="00277B87" w:rsidRPr="00FA384A">
        <w:rPr>
          <w:rFonts w:cstheme="minorHAnsi"/>
        </w:rPr>
        <w:t xml:space="preserve"> de la partida</w:t>
      </w:r>
      <w:r w:rsidR="00A65E53" w:rsidRPr="00FA384A">
        <w:rPr>
          <w:rFonts w:cstheme="minorHAnsi"/>
        </w:rPr>
        <w:t xml:space="preserve"> presupuestaria de</w:t>
      </w:r>
      <w:r w:rsidR="0058369D" w:rsidRPr="00FA384A">
        <w:rPr>
          <w:rFonts w:cstheme="minorHAnsi"/>
        </w:rPr>
        <w:t xml:space="preserve"> </w:t>
      </w:r>
      <w:r w:rsidR="00A65E53" w:rsidRPr="00FA384A">
        <w:rPr>
          <w:rFonts w:cstheme="minorHAnsi"/>
        </w:rPr>
        <w:t>“</w:t>
      </w:r>
      <w:r w:rsidR="00277B87" w:rsidRPr="00FA384A">
        <w:rPr>
          <w:rFonts w:cstheme="minorHAnsi"/>
        </w:rPr>
        <w:t>Personal”</w:t>
      </w:r>
      <w:r w:rsidR="007E1197" w:rsidRPr="00FA384A">
        <w:rPr>
          <w:rFonts w:cstheme="minorHAnsi"/>
        </w:rPr>
        <w:t>,</w:t>
      </w:r>
      <w:r w:rsidR="00277B87" w:rsidRPr="00FA384A">
        <w:rPr>
          <w:rFonts w:cstheme="minorHAnsi"/>
        </w:rPr>
        <w:t xml:space="preserve"> se considera </w:t>
      </w:r>
      <w:r w:rsidR="004264C5" w:rsidRPr="00FA384A">
        <w:rPr>
          <w:rFonts w:cstheme="minorHAnsi"/>
        </w:rPr>
        <w:t xml:space="preserve">adecuado </w:t>
      </w:r>
      <w:r w:rsidR="00277B87" w:rsidRPr="00FA384A">
        <w:rPr>
          <w:rFonts w:cstheme="minorHAnsi"/>
        </w:rPr>
        <w:t xml:space="preserve">utilizar la metodología de </w:t>
      </w:r>
      <w:r w:rsidR="002561EF" w:rsidRPr="00FA384A">
        <w:rPr>
          <w:rFonts w:cstheme="minorHAnsi"/>
        </w:rPr>
        <w:t>estimación</w:t>
      </w:r>
      <w:r w:rsidR="00277B87" w:rsidRPr="00FA384A">
        <w:rPr>
          <w:rFonts w:cstheme="minorHAnsi"/>
        </w:rPr>
        <w:t xml:space="preserve"> de</w:t>
      </w:r>
      <w:r w:rsidR="002561EF" w:rsidRPr="00FA384A">
        <w:rPr>
          <w:rFonts w:cstheme="minorHAnsi"/>
        </w:rPr>
        <w:t xml:space="preserve"> </w:t>
      </w:r>
      <w:r w:rsidR="00277B87" w:rsidRPr="00FA384A">
        <w:rPr>
          <w:rFonts w:cstheme="minorHAnsi"/>
        </w:rPr>
        <w:t>frontera de eficiencia</w:t>
      </w:r>
      <w:r w:rsidRPr="00FA384A">
        <w:rPr>
          <w:rFonts w:cstheme="minorHAnsi"/>
        </w:rPr>
        <w:t>,</w:t>
      </w:r>
      <w:r w:rsidR="00277B87" w:rsidRPr="00FA384A">
        <w:rPr>
          <w:rFonts w:cstheme="minorHAnsi"/>
        </w:rPr>
        <w:t xml:space="preserve"> </w:t>
      </w:r>
      <w:r w:rsidR="00BA6136" w:rsidRPr="00FA384A">
        <w:rPr>
          <w:rFonts w:cstheme="minorHAnsi"/>
        </w:rPr>
        <w:t>a partir de la</w:t>
      </w:r>
      <w:r w:rsidR="00277B87" w:rsidRPr="00FA384A">
        <w:rPr>
          <w:rFonts w:cstheme="minorHAnsi"/>
        </w:rPr>
        <w:t xml:space="preserve"> identifica</w:t>
      </w:r>
      <w:r w:rsidR="00BA6136" w:rsidRPr="00FA384A">
        <w:rPr>
          <w:rFonts w:cstheme="minorHAnsi"/>
        </w:rPr>
        <w:t>ción de</w:t>
      </w:r>
      <w:r w:rsidR="00277B87" w:rsidRPr="00FA384A">
        <w:rPr>
          <w:rFonts w:cstheme="minorHAnsi"/>
        </w:rPr>
        <w:t xml:space="preserve"> las mejores prácticas </w:t>
      </w:r>
      <w:r w:rsidR="00082E5A" w:rsidRPr="00FA384A">
        <w:rPr>
          <w:rFonts w:cstheme="minorHAnsi"/>
        </w:rPr>
        <w:t>que</w:t>
      </w:r>
      <w:r w:rsidR="00277B87" w:rsidRPr="00FA384A">
        <w:rPr>
          <w:rFonts w:cstheme="minorHAnsi"/>
        </w:rPr>
        <w:t xml:space="preserve"> </w:t>
      </w:r>
      <w:r w:rsidR="00082E5A" w:rsidRPr="00FA384A">
        <w:rPr>
          <w:rFonts w:cstheme="minorHAnsi"/>
        </w:rPr>
        <w:t>surge</w:t>
      </w:r>
      <w:r w:rsidRPr="00FA384A">
        <w:rPr>
          <w:rFonts w:cstheme="minorHAnsi"/>
        </w:rPr>
        <w:t>n</w:t>
      </w:r>
      <w:r w:rsidR="00082E5A" w:rsidRPr="00FA384A">
        <w:rPr>
          <w:rFonts w:cstheme="minorHAnsi"/>
        </w:rPr>
        <w:t xml:space="preserve"> de</w:t>
      </w:r>
      <w:r w:rsidR="00277B87" w:rsidRPr="00FA384A">
        <w:rPr>
          <w:rFonts w:cstheme="minorHAnsi"/>
        </w:rPr>
        <w:t xml:space="preserve"> la comparació</w:t>
      </w:r>
      <w:r w:rsidR="00B7456D" w:rsidRPr="00FA384A">
        <w:rPr>
          <w:rFonts w:cstheme="minorHAnsi"/>
        </w:rPr>
        <w:t xml:space="preserve">n </w:t>
      </w:r>
      <w:r w:rsidRPr="00FA384A">
        <w:rPr>
          <w:rFonts w:cstheme="minorHAnsi"/>
        </w:rPr>
        <w:t>entre</w:t>
      </w:r>
      <w:r w:rsidR="00B7456D" w:rsidRPr="00FA384A">
        <w:rPr>
          <w:rFonts w:cstheme="minorHAnsi"/>
        </w:rPr>
        <w:t xml:space="preserve"> las universidades públicas</w:t>
      </w:r>
      <w:r w:rsidR="00560822" w:rsidRPr="00FA384A">
        <w:rPr>
          <w:rFonts w:cstheme="minorHAnsi"/>
        </w:rPr>
        <w:t xml:space="preserve"> investigadas</w:t>
      </w:r>
      <w:r w:rsidR="009B47CC" w:rsidRPr="00FA384A">
        <w:rPr>
          <w:rFonts w:cstheme="minorHAnsi"/>
        </w:rPr>
        <w:t>. La competencia por comparación introduce un incentivo positivo en el desempeño de las unidades</w:t>
      </w:r>
      <w:r w:rsidR="00B7456D" w:rsidRPr="00FA384A">
        <w:rPr>
          <w:rFonts w:cstheme="minorHAnsi"/>
        </w:rPr>
        <w:t xml:space="preserve"> analizadas</w:t>
      </w:r>
      <w:r w:rsidR="009B16BA" w:rsidRPr="00FA384A">
        <w:rPr>
          <w:rFonts w:cstheme="minorHAnsi"/>
        </w:rPr>
        <w:t xml:space="preserve">, </w:t>
      </w:r>
      <w:r w:rsidR="00560822" w:rsidRPr="00FA384A">
        <w:rPr>
          <w:rFonts w:cstheme="minorHAnsi"/>
        </w:rPr>
        <w:t>posibilitando</w:t>
      </w:r>
      <w:r w:rsidR="00A004F5" w:rsidRPr="00FA384A">
        <w:rPr>
          <w:rFonts w:cstheme="minorHAnsi"/>
        </w:rPr>
        <w:t xml:space="preserve"> la</w:t>
      </w:r>
      <w:r w:rsidR="00876F72" w:rsidRPr="00FA384A">
        <w:rPr>
          <w:rFonts w:cstheme="minorHAnsi"/>
        </w:rPr>
        <w:t xml:space="preserve"> </w:t>
      </w:r>
      <w:r w:rsidR="00A004F5" w:rsidRPr="00FA384A">
        <w:rPr>
          <w:rFonts w:cstheme="minorHAnsi"/>
        </w:rPr>
        <w:t>confección de rankings de eficiencia</w:t>
      </w:r>
      <w:r w:rsidR="00615386" w:rsidRPr="00FA384A">
        <w:rPr>
          <w:rFonts w:cstheme="minorHAnsi"/>
        </w:rPr>
        <w:t xml:space="preserve"> para identificar las </w:t>
      </w:r>
      <w:r w:rsidR="006952BB" w:rsidRPr="00FA384A">
        <w:rPr>
          <w:rFonts w:cstheme="minorHAnsi"/>
        </w:rPr>
        <w:t xml:space="preserve">más </w:t>
      </w:r>
      <w:r w:rsidR="00615386" w:rsidRPr="00FA384A">
        <w:rPr>
          <w:rFonts w:cstheme="minorHAnsi"/>
        </w:rPr>
        <w:t xml:space="preserve">eficientes </w:t>
      </w:r>
      <w:r w:rsidR="00EB57EB" w:rsidRPr="00FA384A">
        <w:rPr>
          <w:rFonts w:cstheme="minorHAnsi"/>
        </w:rPr>
        <w:t>o de mejor desempeño</w:t>
      </w:r>
      <w:r w:rsidR="0096018A" w:rsidRPr="00FA384A">
        <w:rPr>
          <w:rFonts w:cstheme="minorHAnsi"/>
        </w:rPr>
        <w:t xml:space="preserve"> y la</w:t>
      </w:r>
      <w:r w:rsidR="006952BB" w:rsidRPr="00FA384A">
        <w:rPr>
          <w:rFonts w:cstheme="minorHAnsi"/>
        </w:rPr>
        <w:t>s</w:t>
      </w:r>
      <w:r w:rsidR="0096018A" w:rsidRPr="00FA384A">
        <w:rPr>
          <w:rFonts w:cstheme="minorHAnsi"/>
        </w:rPr>
        <w:t xml:space="preserve"> menos eficientes</w:t>
      </w:r>
      <w:r w:rsidR="002826DC" w:rsidRPr="00FA384A">
        <w:rPr>
          <w:rFonts w:cstheme="minorHAnsi"/>
        </w:rPr>
        <w:t xml:space="preserve"> o de </w:t>
      </w:r>
      <w:r w:rsidR="006952BB" w:rsidRPr="00FA384A">
        <w:rPr>
          <w:rFonts w:cstheme="minorHAnsi"/>
        </w:rPr>
        <w:t>inferior desempeño</w:t>
      </w:r>
      <w:r w:rsidR="006952BB" w:rsidRPr="00FA384A">
        <w:rPr>
          <w:rFonts w:cstheme="minorHAnsi"/>
          <w:b/>
        </w:rPr>
        <w:t>.</w:t>
      </w:r>
    </w:p>
    <w:p w14:paraId="636B6F08" w14:textId="77777777" w:rsidR="006B1E95" w:rsidRPr="00FA384A" w:rsidRDefault="00EE537E" w:rsidP="00FA384A">
      <w:pPr>
        <w:pStyle w:val="Prrafodelista"/>
        <w:spacing w:after="0" w:line="360" w:lineRule="auto"/>
        <w:ind w:left="0" w:firstLine="567"/>
        <w:jc w:val="both"/>
        <w:rPr>
          <w:rFonts w:cstheme="minorHAnsi"/>
        </w:rPr>
      </w:pPr>
      <w:r w:rsidRPr="00FA384A">
        <w:rPr>
          <w:rFonts w:cstheme="minorHAnsi"/>
        </w:rPr>
        <w:t xml:space="preserve">La comparación de la eficiencia de las universidades públicas sirve </w:t>
      </w:r>
      <w:r w:rsidR="00A20FE1" w:rsidRPr="00FA384A">
        <w:rPr>
          <w:rFonts w:cstheme="minorHAnsi"/>
        </w:rPr>
        <w:t>también</w:t>
      </w:r>
      <w:r w:rsidR="00A20FE1" w:rsidRPr="00FA384A">
        <w:rPr>
          <w:rFonts w:cstheme="minorHAnsi"/>
          <w:b/>
        </w:rPr>
        <w:t xml:space="preserve"> </w:t>
      </w:r>
      <w:r w:rsidRPr="00FA384A">
        <w:rPr>
          <w:rFonts w:cstheme="minorHAnsi"/>
        </w:rPr>
        <w:t xml:space="preserve">para aprender de aquellas unidades que tienen mejor desempeño e introducir mejoras </w:t>
      </w:r>
      <w:r w:rsidR="00967091" w:rsidRPr="00FA384A">
        <w:rPr>
          <w:rFonts w:cstheme="minorHAnsi"/>
        </w:rPr>
        <w:t xml:space="preserve">en las unidades ineficientes para </w:t>
      </w:r>
      <w:r w:rsidRPr="00FA384A">
        <w:rPr>
          <w:rFonts w:cstheme="minorHAnsi"/>
        </w:rPr>
        <w:t xml:space="preserve">que brinden </w:t>
      </w:r>
      <w:r w:rsidR="00635DFB" w:rsidRPr="00FA384A">
        <w:rPr>
          <w:rFonts w:cstheme="minorHAnsi"/>
        </w:rPr>
        <w:t>un</w:t>
      </w:r>
      <w:r w:rsidRPr="00FA384A">
        <w:rPr>
          <w:rFonts w:cstheme="minorHAnsi"/>
        </w:rPr>
        <w:t xml:space="preserve"> </w:t>
      </w:r>
      <w:r w:rsidR="00635DFB" w:rsidRPr="00FA384A">
        <w:rPr>
          <w:rFonts w:cstheme="minorHAnsi"/>
        </w:rPr>
        <w:t xml:space="preserve">mejor </w:t>
      </w:r>
      <w:r w:rsidRPr="00FA384A">
        <w:rPr>
          <w:rFonts w:cstheme="minorHAnsi"/>
        </w:rPr>
        <w:t xml:space="preserve">resultado final a la </w:t>
      </w:r>
      <w:r w:rsidR="00635DFB" w:rsidRPr="00FA384A">
        <w:rPr>
          <w:rFonts w:cstheme="minorHAnsi"/>
        </w:rPr>
        <w:t>sociedad</w:t>
      </w:r>
      <w:r w:rsidR="00560822" w:rsidRPr="00FA384A">
        <w:rPr>
          <w:rFonts w:cstheme="minorHAnsi"/>
        </w:rPr>
        <w:t>;</w:t>
      </w:r>
      <w:r w:rsidRPr="00FA384A">
        <w:rPr>
          <w:rFonts w:cstheme="minorHAnsi"/>
        </w:rPr>
        <w:t xml:space="preserve"> p</w:t>
      </w:r>
      <w:r w:rsidR="00560822" w:rsidRPr="00FA384A">
        <w:rPr>
          <w:rFonts w:cstheme="minorHAnsi"/>
        </w:rPr>
        <w:t>ara</w:t>
      </w:r>
      <w:r w:rsidRPr="00FA384A">
        <w:rPr>
          <w:rFonts w:cstheme="minorHAnsi"/>
        </w:rPr>
        <w:t xml:space="preserve"> lo cual se necesita def</w:t>
      </w:r>
      <w:r w:rsidR="0038076D" w:rsidRPr="00FA384A">
        <w:rPr>
          <w:rFonts w:cstheme="minorHAnsi"/>
        </w:rPr>
        <w:t>inir una frontera de eficiencia</w:t>
      </w:r>
      <w:r w:rsidRPr="00FA384A">
        <w:rPr>
          <w:rFonts w:cstheme="minorHAnsi"/>
        </w:rPr>
        <w:t xml:space="preserve"> en donde se ubicarán la</w:t>
      </w:r>
      <w:r w:rsidR="00967091" w:rsidRPr="00FA384A">
        <w:rPr>
          <w:rFonts w:cstheme="minorHAnsi"/>
        </w:rPr>
        <w:t>s universidades más eficientes.</w:t>
      </w:r>
    </w:p>
    <w:p w14:paraId="2B8F7C38" w14:textId="77777777" w:rsidR="006B1E95" w:rsidRPr="00FA384A" w:rsidRDefault="008C7768" w:rsidP="00FA384A">
      <w:pPr>
        <w:pStyle w:val="Prrafodelista"/>
        <w:spacing w:after="0" w:line="360" w:lineRule="auto"/>
        <w:ind w:left="0" w:firstLine="567"/>
        <w:jc w:val="both"/>
        <w:rPr>
          <w:rFonts w:cstheme="minorHAnsi"/>
        </w:rPr>
      </w:pPr>
      <w:r w:rsidRPr="00FA384A">
        <w:rPr>
          <w:rFonts w:cstheme="minorHAnsi"/>
        </w:rPr>
        <w:t xml:space="preserve">La </w:t>
      </w:r>
      <w:r w:rsidR="009D387A" w:rsidRPr="00FA384A">
        <w:rPr>
          <w:rFonts w:cstheme="minorHAnsi"/>
        </w:rPr>
        <w:t xml:space="preserve">frontera de </w:t>
      </w:r>
      <w:r w:rsidR="00460F59" w:rsidRPr="00FA384A">
        <w:rPr>
          <w:rFonts w:cstheme="minorHAnsi"/>
        </w:rPr>
        <w:t>eficiencia</w:t>
      </w:r>
      <w:r w:rsidR="009D387A" w:rsidRPr="00FA384A">
        <w:rPr>
          <w:rFonts w:cstheme="minorHAnsi"/>
        </w:rPr>
        <w:t xml:space="preserve"> </w:t>
      </w:r>
      <w:r w:rsidRPr="00FA384A">
        <w:rPr>
          <w:rFonts w:cstheme="minorHAnsi"/>
        </w:rPr>
        <w:t xml:space="preserve">se define como la máxima cantidad de </w:t>
      </w:r>
      <w:r w:rsidR="0074315C" w:rsidRPr="00FA384A">
        <w:rPr>
          <w:rFonts w:cstheme="minorHAnsi"/>
        </w:rPr>
        <w:t>“</w:t>
      </w:r>
      <w:r w:rsidR="00B259FE" w:rsidRPr="00FA384A">
        <w:rPr>
          <w:rFonts w:cstheme="minorHAnsi"/>
        </w:rPr>
        <w:t>“outputs”</w:t>
      </w:r>
      <w:r w:rsidR="0074315C" w:rsidRPr="00FA384A">
        <w:rPr>
          <w:rFonts w:cstheme="minorHAnsi"/>
        </w:rPr>
        <w:t>”</w:t>
      </w:r>
      <w:r w:rsidRPr="00FA384A">
        <w:rPr>
          <w:rFonts w:cstheme="minorHAnsi"/>
        </w:rPr>
        <w:t xml:space="preserve"> que puede ser producida a partir de una cesta o conjunto de </w:t>
      </w:r>
      <w:r w:rsidR="0074315C" w:rsidRPr="00FA384A">
        <w:rPr>
          <w:rFonts w:cstheme="minorHAnsi"/>
        </w:rPr>
        <w:t>“</w:t>
      </w:r>
      <w:r w:rsidR="00B259FE" w:rsidRPr="00FA384A">
        <w:rPr>
          <w:rFonts w:cstheme="minorHAnsi"/>
        </w:rPr>
        <w:t>“inputs”</w:t>
      </w:r>
      <w:r w:rsidR="0074315C" w:rsidRPr="00FA384A">
        <w:rPr>
          <w:rFonts w:cstheme="minorHAnsi"/>
        </w:rPr>
        <w:t>”</w:t>
      </w:r>
      <w:r w:rsidRPr="00FA384A">
        <w:rPr>
          <w:rFonts w:cstheme="minorHAnsi"/>
        </w:rPr>
        <w:t xml:space="preserve"> </w:t>
      </w:r>
      <w:r w:rsidR="0034686C" w:rsidRPr="00FA384A">
        <w:rPr>
          <w:rFonts w:cstheme="minorHAnsi"/>
        </w:rPr>
        <w:t xml:space="preserve">o </w:t>
      </w:r>
      <w:r w:rsidR="009D387A" w:rsidRPr="00FA384A">
        <w:rPr>
          <w:rFonts w:cstheme="minorHAnsi"/>
        </w:rPr>
        <w:t>recursos dados</w:t>
      </w:r>
      <w:r w:rsidR="005A13C5" w:rsidRPr="00FA384A">
        <w:rPr>
          <w:rFonts w:cstheme="minorHAnsi"/>
        </w:rPr>
        <w:t>.</w:t>
      </w:r>
      <w:r w:rsidR="001B4FB0" w:rsidRPr="00FA384A">
        <w:rPr>
          <w:rFonts w:cstheme="minorHAnsi"/>
        </w:rPr>
        <w:t xml:space="preserve"> </w:t>
      </w:r>
      <w:r w:rsidR="000D2F3E" w:rsidRPr="00FA384A">
        <w:rPr>
          <w:rFonts w:cstheme="minorHAnsi"/>
        </w:rPr>
        <w:t xml:space="preserve">En </w:t>
      </w:r>
      <w:r w:rsidR="00006408" w:rsidRPr="00FA384A">
        <w:rPr>
          <w:rFonts w:cstheme="minorHAnsi"/>
        </w:rPr>
        <w:t xml:space="preserve">el mundo de la </w:t>
      </w:r>
      <w:r w:rsidR="000D2F3E" w:rsidRPr="00FA384A">
        <w:rPr>
          <w:rFonts w:cstheme="minorHAnsi"/>
        </w:rPr>
        <w:t xml:space="preserve">economía se puede definir teóricamente la </w:t>
      </w:r>
      <w:r w:rsidR="007B6A0E" w:rsidRPr="00FA384A">
        <w:rPr>
          <w:rFonts w:cstheme="minorHAnsi"/>
        </w:rPr>
        <w:t>frontera eficiente</w:t>
      </w:r>
      <w:r w:rsidR="000D2F3E" w:rsidRPr="00FA384A">
        <w:rPr>
          <w:rFonts w:cstheme="minorHAnsi"/>
        </w:rPr>
        <w:t xml:space="preserve"> a través de distint</w:t>
      </w:r>
      <w:r w:rsidR="00DB0B0C" w:rsidRPr="00FA384A">
        <w:rPr>
          <w:rFonts w:cstheme="minorHAnsi"/>
        </w:rPr>
        <w:t>as especificaciones matemáticas.</w:t>
      </w:r>
      <w:r w:rsidR="000D2F3E" w:rsidRPr="00FA384A">
        <w:rPr>
          <w:rFonts w:cstheme="minorHAnsi"/>
        </w:rPr>
        <w:t xml:space="preserve"> </w:t>
      </w:r>
      <w:r w:rsidR="00DB0B0C" w:rsidRPr="00FA384A">
        <w:rPr>
          <w:rFonts w:cstheme="minorHAnsi"/>
        </w:rPr>
        <w:t>E</w:t>
      </w:r>
      <w:r w:rsidR="000D2F3E" w:rsidRPr="00FA384A">
        <w:rPr>
          <w:rFonts w:cstheme="minorHAnsi"/>
        </w:rPr>
        <w:t xml:space="preserve">n el mundo </w:t>
      </w:r>
      <w:r w:rsidR="00C0585B" w:rsidRPr="00FA384A">
        <w:rPr>
          <w:rFonts w:cstheme="minorHAnsi"/>
        </w:rPr>
        <w:t>real</w:t>
      </w:r>
      <w:r w:rsidR="00A23F1F" w:rsidRPr="00FA384A">
        <w:rPr>
          <w:rFonts w:cstheme="minorHAnsi"/>
        </w:rPr>
        <w:t>, en la mayoría de los casos,</w:t>
      </w:r>
      <w:r w:rsidR="00DB0B0C" w:rsidRPr="00FA384A">
        <w:rPr>
          <w:rFonts w:cstheme="minorHAnsi"/>
        </w:rPr>
        <w:t xml:space="preserve"> </w:t>
      </w:r>
      <w:r w:rsidR="007E31AC" w:rsidRPr="00FA384A">
        <w:rPr>
          <w:rFonts w:cstheme="minorHAnsi"/>
        </w:rPr>
        <w:t xml:space="preserve">esta definición </w:t>
      </w:r>
      <w:r w:rsidR="00DB0B0C" w:rsidRPr="00FA384A">
        <w:rPr>
          <w:rFonts w:cstheme="minorHAnsi"/>
        </w:rPr>
        <w:t xml:space="preserve">no es posible porque se requiere un conocimiento completo de la organización y de la tecnología utilizada </w:t>
      </w:r>
      <w:r w:rsidR="00AB229D" w:rsidRPr="00FA384A">
        <w:rPr>
          <w:rFonts w:cstheme="minorHAnsi"/>
        </w:rPr>
        <w:t>para la obtención de resultados</w:t>
      </w:r>
      <w:r w:rsidR="009D13F6" w:rsidRPr="00FA384A">
        <w:rPr>
          <w:rFonts w:cstheme="minorHAnsi"/>
        </w:rPr>
        <w:t>,</w:t>
      </w:r>
      <w:r w:rsidR="00DB0B0C" w:rsidRPr="00FA384A">
        <w:rPr>
          <w:rFonts w:cstheme="minorHAnsi"/>
        </w:rPr>
        <w:t xml:space="preserve"> </w:t>
      </w:r>
      <w:r w:rsidR="00B2721A" w:rsidRPr="00FA384A">
        <w:rPr>
          <w:rFonts w:cstheme="minorHAnsi"/>
        </w:rPr>
        <w:t>como</w:t>
      </w:r>
      <w:r w:rsidR="00AB229D" w:rsidRPr="00FA384A">
        <w:rPr>
          <w:rFonts w:cstheme="minorHAnsi"/>
        </w:rPr>
        <w:t xml:space="preserve"> sucede en el caso de las</w:t>
      </w:r>
      <w:r w:rsidR="00876F72" w:rsidRPr="00FA384A">
        <w:rPr>
          <w:rFonts w:cstheme="minorHAnsi"/>
        </w:rPr>
        <w:t xml:space="preserve"> </w:t>
      </w:r>
      <w:r w:rsidR="00AB229D" w:rsidRPr="00FA384A">
        <w:rPr>
          <w:rFonts w:cstheme="minorHAnsi"/>
        </w:rPr>
        <w:t xml:space="preserve">universidades </w:t>
      </w:r>
      <w:r w:rsidR="00424B43" w:rsidRPr="00FA384A">
        <w:rPr>
          <w:rFonts w:cstheme="minorHAnsi"/>
        </w:rPr>
        <w:t xml:space="preserve">públicas </w:t>
      </w:r>
      <w:r w:rsidR="00AB229D" w:rsidRPr="00FA384A">
        <w:rPr>
          <w:rFonts w:cstheme="minorHAnsi"/>
        </w:rPr>
        <w:t xml:space="preserve">analizadas; </w:t>
      </w:r>
      <w:r w:rsidR="00DB0B0C" w:rsidRPr="00FA384A">
        <w:rPr>
          <w:rFonts w:cstheme="minorHAnsi"/>
        </w:rPr>
        <w:t>por este motivo</w:t>
      </w:r>
      <w:r w:rsidR="009D13F6" w:rsidRPr="00FA384A">
        <w:rPr>
          <w:rFonts w:cstheme="minorHAnsi"/>
        </w:rPr>
        <w:t>,</w:t>
      </w:r>
      <w:r w:rsidR="00C0585B" w:rsidRPr="00FA384A">
        <w:rPr>
          <w:rFonts w:cstheme="minorHAnsi"/>
        </w:rPr>
        <w:t xml:space="preserve"> la frontera de </w:t>
      </w:r>
      <w:r w:rsidR="002F61BD" w:rsidRPr="00FA384A">
        <w:rPr>
          <w:rFonts w:cstheme="minorHAnsi"/>
        </w:rPr>
        <w:t>eficiencia</w:t>
      </w:r>
      <w:r w:rsidR="00C0585B" w:rsidRPr="00FA384A">
        <w:rPr>
          <w:rFonts w:cstheme="minorHAnsi"/>
        </w:rPr>
        <w:t xml:space="preserve"> </w:t>
      </w:r>
      <w:r w:rsidR="00E06222" w:rsidRPr="00FA384A">
        <w:rPr>
          <w:rFonts w:cstheme="minorHAnsi"/>
        </w:rPr>
        <w:t xml:space="preserve">se estima </w:t>
      </w:r>
      <w:r w:rsidR="00CF450E" w:rsidRPr="00FA384A">
        <w:rPr>
          <w:rFonts w:cstheme="minorHAnsi"/>
        </w:rPr>
        <w:t>observando las mejores prácticas</w:t>
      </w:r>
      <w:r w:rsidR="00C0585B" w:rsidRPr="00FA384A">
        <w:rPr>
          <w:rFonts w:cstheme="minorHAnsi"/>
        </w:rPr>
        <w:t>.</w:t>
      </w:r>
      <w:r w:rsidR="004915C9" w:rsidRPr="00FA384A">
        <w:rPr>
          <w:rFonts w:cstheme="minorHAnsi"/>
        </w:rPr>
        <w:t xml:space="preserve"> </w:t>
      </w:r>
    </w:p>
    <w:p w14:paraId="3A9D42EA" w14:textId="77777777" w:rsidR="00EB4A60" w:rsidRPr="00FA384A" w:rsidRDefault="004915C9" w:rsidP="00FA384A">
      <w:pPr>
        <w:pStyle w:val="Prrafodelista"/>
        <w:spacing w:after="0" w:line="360" w:lineRule="auto"/>
        <w:ind w:left="0" w:firstLine="567"/>
        <w:jc w:val="both"/>
        <w:rPr>
          <w:rFonts w:cstheme="minorHAnsi"/>
        </w:rPr>
      </w:pPr>
      <w:r w:rsidRPr="00FA384A">
        <w:rPr>
          <w:rFonts w:cstheme="minorHAnsi"/>
        </w:rPr>
        <w:t>A</w:t>
      </w:r>
      <w:r w:rsidR="00CF450E" w:rsidRPr="00FA384A">
        <w:rPr>
          <w:rFonts w:cstheme="minorHAnsi"/>
        </w:rPr>
        <w:t xml:space="preserve"> partir de esta frontera de </w:t>
      </w:r>
      <w:r w:rsidR="00AB229D" w:rsidRPr="00FA384A">
        <w:rPr>
          <w:rFonts w:cstheme="minorHAnsi"/>
        </w:rPr>
        <w:t>eficiencia</w:t>
      </w:r>
      <w:r w:rsidR="00B2721A" w:rsidRPr="00FA384A">
        <w:rPr>
          <w:rFonts w:cstheme="minorHAnsi"/>
        </w:rPr>
        <w:t xml:space="preserve"> </w:t>
      </w:r>
      <w:r w:rsidRPr="00FA384A">
        <w:rPr>
          <w:rFonts w:cstheme="minorHAnsi"/>
        </w:rPr>
        <w:t>obtenida</w:t>
      </w:r>
      <w:r w:rsidR="00CF450E" w:rsidRPr="00FA384A">
        <w:rPr>
          <w:rFonts w:cstheme="minorHAnsi"/>
        </w:rPr>
        <w:t xml:space="preserve"> con las mejores prácticas, </w:t>
      </w:r>
      <w:r w:rsidR="00F019EB" w:rsidRPr="00FA384A">
        <w:rPr>
          <w:rFonts w:cstheme="minorHAnsi"/>
        </w:rPr>
        <w:t>se</w:t>
      </w:r>
      <w:r w:rsidR="00CF450E" w:rsidRPr="00FA384A">
        <w:rPr>
          <w:rFonts w:cstheme="minorHAnsi"/>
        </w:rPr>
        <w:t xml:space="preserve"> </w:t>
      </w:r>
      <w:r w:rsidR="002E5F72" w:rsidRPr="00FA384A">
        <w:rPr>
          <w:rFonts w:cstheme="minorHAnsi"/>
        </w:rPr>
        <w:t xml:space="preserve">identifican las unidades </w:t>
      </w:r>
      <w:r w:rsidR="002F61BD" w:rsidRPr="00FA384A">
        <w:rPr>
          <w:rFonts w:cstheme="minorHAnsi"/>
        </w:rPr>
        <w:t xml:space="preserve">más </w:t>
      </w:r>
      <w:r w:rsidR="00985AF8" w:rsidRPr="00FA384A">
        <w:rPr>
          <w:rFonts w:cstheme="minorHAnsi"/>
        </w:rPr>
        <w:t>eficientes</w:t>
      </w:r>
      <w:r w:rsidR="002E5F72" w:rsidRPr="00FA384A">
        <w:rPr>
          <w:rFonts w:cstheme="minorHAnsi"/>
        </w:rPr>
        <w:t xml:space="preserve">. </w:t>
      </w:r>
      <w:r w:rsidRPr="00FA384A">
        <w:rPr>
          <w:rFonts w:cstheme="minorHAnsi"/>
        </w:rPr>
        <w:t>L</w:t>
      </w:r>
      <w:r w:rsidR="008D1A6E" w:rsidRPr="00FA384A">
        <w:rPr>
          <w:rFonts w:cstheme="minorHAnsi"/>
        </w:rPr>
        <w:t>a</w:t>
      </w:r>
      <w:r w:rsidRPr="00FA384A">
        <w:rPr>
          <w:rFonts w:cstheme="minorHAnsi"/>
        </w:rPr>
        <w:t xml:space="preserve">s </w:t>
      </w:r>
      <w:r w:rsidR="006B1E95" w:rsidRPr="00FA384A">
        <w:rPr>
          <w:rFonts w:cstheme="minorHAnsi"/>
        </w:rPr>
        <w:t>universidades</w:t>
      </w:r>
      <w:r w:rsidRPr="00FA384A">
        <w:rPr>
          <w:rFonts w:cstheme="minorHAnsi"/>
        </w:rPr>
        <w:t xml:space="preserve"> que no están </w:t>
      </w:r>
      <w:r w:rsidR="002E5F72" w:rsidRPr="00FA384A">
        <w:rPr>
          <w:rFonts w:cstheme="minorHAnsi"/>
        </w:rPr>
        <w:t xml:space="preserve">ubicadas </w:t>
      </w:r>
      <w:r w:rsidR="003F1618" w:rsidRPr="00FA384A">
        <w:rPr>
          <w:rFonts w:cstheme="minorHAnsi"/>
        </w:rPr>
        <w:t>en</w:t>
      </w:r>
      <w:r w:rsidRPr="00FA384A">
        <w:rPr>
          <w:rFonts w:cstheme="minorHAnsi"/>
        </w:rPr>
        <w:t xml:space="preserve"> la frontera de </w:t>
      </w:r>
      <w:r w:rsidR="003F1618" w:rsidRPr="00FA384A">
        <w:rPr>
          <w:rFonts w:cstheme="minorHAnsi"/>
        </w:rPr>
        <w:t>eficiencia</w:t>
      </w:r>
      <w:r w:rsidR="0049554D" w:rsidRPr="00FA384A">
        <w:rPr>
          <w:rFonts w:cstheme="minorHAnsi"/>
        </w:rPr>
        <w:t xml:space="preserve"> </w:t>
      </w:r>
      <w:r w:rsidRPr="00FA384A">
        <w:rPr>
          <w:rFonts w:cstheme="minorHAnsi"/>
        </w:rPr>
        <w:t xml:space="preserve">representan las </w:t>
      </w:r>
      <w:r w:rsidRPr="00FA384A">
        <w:rPr>
          <w:rFonts w:cstheme="minorHAnsi"/>
        </w:rPr>
        <w:lastRenderedPageBreak/>
        <w:t xml:space="preserve">unidades </w:t>
      </w:r>
      <w:r w:rsidR="003F1618" w:rsidRPr="00FA384A">
        <w:rPr>
          <w:rFonts w:cstheme="minorHAnsi"/>
        </w:rPr>
        <w:t>menos eficientes</w:t>
      </w:r>
      <w:r w:rsidRPr="00FA384A">
        <w:rPr>
          <w:rFonts w:cstheme="minorHAnsi"/>
        </w:rPr>
        <w:t>, mientras que l</w:t>
      </w:r>
      <w:r w:rsidR="009F7F13" w:rsidRPr="00FA384A">
        <w:rPr>
          <w:rFonts w:cstheme="minorHAnsi"/>
        </w:rPr>
        <w:t>a</w:t>
      </w:r>
      <w:r w:rsidRPr="00FA384A">
        <w:rPr>
          <w:rFonts w:cstheme="minorHAnsi"/>
        </w:rPr>
        <w:t xml:space="preserve">s </w:t>
      </w:r>
      <w:r w:rsidR="00A25E13" w:rsidRPr="00FA384A">
        <w:rPr>
          <w:rFonts w:cstheme="minorHAnsi"/>
        </w:rPr>
        <w:t>unidades</w:t>
      </w:r>
      <w:r w:rsidRPr="00FA384A">
        <w:rPr>
          <w:rFonts w:cstheme="minorHAnsi"/>
        </w:rPr>
        <w:t xml:space="preserve"> </w:t>
      </w:r>
      <w:r w:rsidR="00A25E13" w:rsidRPr="00FA384A">
        <w:rPr>
          <w:rFonts w:cstheme="minorHAnsi"/>
        </w:rPr>
        <w:t>situadas</w:t>
      </w:r>
      <w:r w:rsidRPr="00FA384A">
        <w:rPr>
          <w:rFonts w:cstheme="minorHAnsi"/>
        </w:rPr>
        <w:t xml:space="preserve"> </w:t>
      </w:r>
      <w:r w:rsidR="00E75DE8" w:rsidRPr="00FA384A">
        <w:rPr>
          <w:rFonts w:cstheme="minorHAnsi"/>
        </w:rPr>
        <w:t xml:space="preserve">en </w:t>
      </w:r>
      <w:r w:rsidRPr="00FA384A">
        <w:rPr>
          <w:rFonts w:cstheme="minorHAnsi"/>
        </w:rPr>
        <w:t xml:space="preserve">la frontera representan las </w:t>
      </w:r>
      <w:r w:rsidR="006B1E95" w:rsidRPr="00FA384A">
        <w:rPr>
          <w:rFonts w:cstheme="minorHAnsi"/>
        </w:rPr>
        <w:t>universidade</w:t>
      </w:r>
      <w:r w:rsidRPr="00FA384A">
        <w:rPr>
          <w:rFonts w:cstheme="minorHAnsi"/>
        </w:rPr>
        <w:t xml:space="preserve">s </w:t>
      </w:r>
      <w:r w:rsidR="00F94230" w:rsidRPr="00FA384A">
        <w:rPr>
          <w:rFonts w:cstheme="minorHAnsi"/>
        </w:rPr>
        <w:t xml:space="preserve">más </w:t>
      </w:r>
      <w:r w:rsidRPr="00FA384A">
        <w:rPr>
          <w:rFonts w:cstheme="minorHAnsi"/>
        </w:rPr>
        <w:t>eficientes.</w:t>
      </w:r>
    </w:p>
    <w:p w14:paraId="3E1CEB4B" w14:textId="77777777" w:rsidR="006A3239" w:rsidRPr="00FA384A" w:rsidRDefault="002972D4" w:rsidP="00FA384A">
      <w:pPr>
        <w:pStyle w:val="Prrafodelista"/>
        <w:spacing w:after="0" w:line="360" w:lineRule="auto"/>
        <w:ind w:left="0" w:firstLine="567"/>
        <w:jc w:val="both"/>
        <w:rPr>
          <w:rFonts w:cstheme="minorHAnsi"/>
        </w:rPr>
      </w:pPr>
      <w:r w:rsidRPr="00FA384A">
        <w:rPr>
          <w:rFonts w:cstheme="minorHAnsi"/>
        </w:rPr>
        <w:t xml:space="preserve">Existen dos metodologías </w:t>
      </w:r>
      <w:r w:rsidR="00825CD0" w:rsidRPr="00FA384A">
        <w:rPr>
          <w:rFonts w:cstheme="minorHAnsi"/>
        </w:rPr>
        <w:t xml:space="preserve">principales </w:t>
      </w:r>
      <w:r w:rsidRPr="00FA384A">
        <w:rPr>
          <w:rFonts w:cstheme="minorHAnsi"/>
        </w:rPr>
        <w:t xml:space="preserve">para estimar la </w:t>
      </w:r>
      <w:r w:rsidR="001F13A4" w:rsidRPr="00FA384A">
        <w:rPr>
          <w:rFonts w:cstheme="minorHAnsi"/>
        </w:rPr>
        <w:t xml:space="preserve">frontera de </w:t>
      </w:r>
      <w:r w:rsidR="00550024" w:rsidRPr="00FA384A">
        <w:rPr>
          <w:rFonts w:cstheme="minorHAnsi"/>
        </w:rPr>
        <w:t>eficiencia</w:t>
      </w:r>
      <w:r w:rsidR="00922C02" w:rsidRPr="00FA384A">
        <w:rPr>
          <w:rFonts w:cstheme="minorHAnsi"/>
        </w:rPr>
        <w:t xml:space="preserve">: los métodos paramétricos y </w:t>
      </w:r>
      <w:r w:rsidR="001C6F15" w:rsidRPr="00FA384A">
        <w:rPr>
          <w:rFonts w:cstheme="minorHAnsi"/>
        </w:rPr>
        <w:t xml:space="preserve">los métodos </w:t>
      </w:r>
      <w:r w:rsidR="00922C02" w:rsidRPr="00FA384A">
        <w:rPr>
          <w:rFonts w:cstheme="minorHAnsi"/>
        </w:rPr>
        <w:t xml:space="preserve">no paramétricos. </w:t>
      </w:r>
      <w:r w:rsidR="00237F0C" w:rsidRPr="00FA384A">
        <w:rPr>
          <w:rFonts w:cstheme="minorHAnsi"/>
        </w:rPr>
        <w:t>Los métodos paramétricos asumen un supuesto acerca de la tecnología y requieren la especificació</w:t>
      </w:r>
      <w:r w:rsidR="00E06F6B" w:rsidRPr="00FA384A">
        <w:rPr>
          <w:rFonts w:cstheme="minorHAnsi"/>
        </w:rPr>
        <w:t>n de una función que relacione “</w:t>
      </w:r>
      <w:r w:rsidR="00B259FE" w:rsidRPr="00FA384A">
        <w:rPr>
          <w:rFonts w:cstheme="minorHAnsi"/>
        </w:rPr>
        <w:t>“inputs”</w:t>
      </w:r>
      <w:r w:rsidR="00E06F6B" w:rsidRPr="00FA384A">
        <w:rPr>
          <w:rFonts w:cstheme="minorHAnsi"/>
        </w:rPr>
        <w:t>” con “</w:t>
      </w:r>
      <w:r w:rsidR="00B259FE" w:rsidRPr="00FA384A">
        <w:rPr>
          <w:rFonts w:cstheme="minorHAnsi"/>
        </w:rPr>
        <w:t>“outputs”</w:t>
      </w:r>
      <w:r w:rsidR="00E06F6B" w:rsidRPr="00FA384A">
        <w:rPr>
          <w:rFonts w:cstheme="minorHAnsi"/>
        </w:rPr>
        <w:t>”</w:t>
      </w:r>
      <w:r w:rsidR="00237F0C" w:rsidRPr="00FA384A">
        <w:rPr>
          <w:rFonts w:cstheme="minorHAnsi"/>
        </w:rPr>
        <w:t>.</w:t>
      </w:r>
      <w:r w:rsidRPr="00FA384A">
        <w:rPr>
          <w:rFonts w:cstheme="minorHAnsi"/>
        </w:rPr>
        <w:t xml:space="preserve"> </w:t>
      </w:r>
      <w:r w:rsidR="00D43121" w:rsidRPr="00FA384A">
        <w:rPr>
          <w:rFonts w:cstheme="minorHAnsi"/>
        </w:rPr>
        <w:t>Los</w:t>
      </w:r>
      <w:r w:rsidR="0078463B" w:rsidRPr="00FA384A">
        <w:rPr>
          <w:rFonts w:cstheme="minorHAnsi"/>
        </w:rPr>
        <w:t xml:space="preserve"> método</w:t>
      </w:r>
      <w:r w:rsidR="00D43121" w:rsidRPr="00FA384A">
        <w:rPr>
          <w:rFonts w:cstheme="minorHAnsi"/>
        </w:rPr>
        <w:t>s</w:t>
      </w:r>
      <w:r w:rsidR="0078463B" w:rsidRPr="00FA384A">
        <w:rPr>
          <w:rFonts w:cstheme="minorHAnsi"/>
        </w:rPr>
        <w:t xml:space="preserve"> no paramétrico</w:t>
      </w:r>
      <w:r w:rsidR="00D43121" w:rsidRPr="00FA384A">
        <w:rPr>
          <w:rFonts w:cstheme="minorHAnsi"/>
        </w:rPr>
        <w:t>s</w:t>
      </w:r>
      <w:r w:rsidRPr="00FA384A">
        <w:rPr>
          <w:rFonts w:cstheme="minorHAnsi"/>
        </w:rPr>
        <w:t xml:space="preserve"> </w:t>
      </w:r>
      <w:r w:rsidR="0078463B" w:rsidRPr="00FA384A">
        <w:rPr>
          <w:rFonts w:cstheme="minorHAnsi"/>
        </w:rPr>
        <w:t>estima</w:t>
      </w:r>
      <w:r w:rsidR="00D43121" w:rsidRPr="00FA384A">
        <w:rPr>
          <w:rFonts w:cstheme="minorHAnsi"/>
        </w:rPr>
        <w:t>n</w:t>
      </w:r>
      <w:r w:rsidR="0078463B" w:rsidRPr="00FA384A">
        <w:rPr>
          <w:rFonts w:cstheme="minorHAnsi"/>
        </w:rPr>
        <w:t xml:space="preserve"> la frontera de </w:t>
      </w:r>
      <w:r w:rsidR="008F7E09" w:rsidRPr="00FA384A">
        <w:rPr>
          <w:rFonts w:cstheme="minorHAnsi"/>
        </w:rPr>
        <w:t xml:space="preserve">eficiencia </w:t>
      </w:r>
      <w:r w:rsidR="0078463B" w:rsidRPr="00FA384A">
        <w:rPr>
          <w:rFonts w:cstheme="minorHAnsi"/>
        </w:rPr>
        <w:t>a través de</w:t>
      </w:r>
      <w:r w:rsidRPr="00FA384A">
        <w:rPr>
          <w:rFonts w:cstheme="minorHAnsi"/>
        </w:rPr>
        <w:t xml:space="preserve"> la programación lineal matemática</w:t>
      </w:r>
      <w:r w:rsidR="00826A1E" w:rsidRPr="00FA384A">
        <w:rPr>
          <w:rFonts w:cstheme="minorHAnsi"/>
        </w:rPr>
        <w:t xml:space="preserve">, sin la suposición previa de una función </w:t>
      </w:r>
      <w:r w:rsidR="008F7E09" w:rsidRPr="00FA384A">
        <w:rPr>
          <w:rFonts w:cstheme="minorHAnsi"/>
        </w:rPr>
        <w:t>que relacione</w:t>
      </w:r>
      <w:r w:rsidR="00E06F6B" w:rsidRPr="00FA384A">
        <w:rPr>
          <w:rFonts w:cstheme="minorHAnsi"/>
        </w:rPr>
        <w:t xml:space="preserve"> “</w:t>
      </w:r>
      <w:r w:rsidR="00B259FE" w:rsidRPr="00FA384A">
        <w:rPr>
          <w:rFonts w:cstheme="minorHAnsi"/>
        </w:rPr>
        <w:t>“inputs”</w:t>
      </w:r>
      <w:r w:rsidR="00E06F6B" w:rsidRPr="00FA384A">
        <w:rPr>
          <w:rFonts w:cstheme="minorHAnsi"/>
        </w:rPr>
        <w:t>” con “</w:t>
      </w:r>
      <w:r w:rsidR="00B259FE" w:rsidRPr="00FA384A">
        <w:rPr>
          <w:rFonts w:cstheme="minorHAnsi"/>
        </w:rPr>
        <w:t>“outputs”</w:t>
      </w:r>
      <w:r w:rsidR="00E06F6B" w:rsidRPr="00FA384A">
        <w:rPr>
          <w:rFonts w:cstheme="minorHAnsi"/>
        </w:rPr>
        <w:t>”</w:t>
      </w:r>
      <w:r w:rsidR="00FA59E3" w:rsidRPr="00FA384A">
        <w:rPr>
          <w:rFonts w:cstheme="minorHAnsi"/>
        </w:rPr>
        <w:t>,</w:t>
      </w:r>
      <w:r w:rsidR="00D5408A" w:rsidRPr="00FA384A">
        <w:rPr>
          <w:rFonts w:cstheme="minorHAnsi"/>
        </w:rPr>
        <w:t xml:space="preserve"> como</w:t>
      </w:r>
      <w:r w:rsidR="006A3239" w:rsidRPr="00FA384A">
        <w:rPr>
          <w:rFonts w:cstheme="minorHAnsi"/>
        </w:rPr>
        <w:t xml:space="preserve"> </w:t>
      </w:r>
      <w:r w:rsidR="00D5408A" w:rsidRPr="00FA384A">
        <w:rPr>
          <w:rFonts w:cstheme="minorHAnsi"/>
        </w:rPr>
        <w:t xml:space="preserve">así tampoco </w:t>
      </w:r>
      <w:r w:rsidR="006A3239" w:rsidRPr="00FA384A">
        <w:rPr>
          <w:rFonts w:cstheme="minorHAnsi"/>
        </w:rPr>
        <w:t xml:space="preserve">asumen ningún supuesto acerca de la tecnología. </w:t>
      </w:r>
    </w:p>
    <w:p w14:paraId="767B5F61" w14:textId="77777777" w:rsidR="00867D80" w:rsidRPr="00FA384A" w:rsidRDefault="003B05FC" w:rsidP="00FA384A">
      <w:pPr>
        <w:autoSpaceDE w:val="0"/>
        <w:autoSpaceDN w:val="0"/>
        <w:adjustRightInd w:val="0"/>
        <w:spacing w:after="0" w:line="360" w:lineRule="auto"/>
        <w:ind w:firstLine="567"/>
        <w:jc w:val="both"/>
        <w:rPr>
          <w:rFonts w:cstheme="minorHAnsi"/>
        </w:rPr>
      </w:pPr>
      <w:r w:rsidRPr="00FA384A">
        <w:rPr>
          <w:rFonts w:cstheme="minorHAnsi"/>
        </w:rPr>
        <w:t xml:space="preserve">En los métodos paramétricos y no paramétricos existen </w:t>
      </w:r>
      <w:r w:rsidR="00B837A9" w:rsidRPr="00FA384A">
        <w:rPr>
          <w:rFonts w:cstheme="minorHAnsi"/>
        </w:rPr>
        <w:t>los</w:t>
      </w:r>
      <w:r w:rsidRPr="00FA384A">
        <w:rPr>
          <w:rFonts w:cstheme="minorHAnsi"/>
        </w:rPr>
        <w:t xml:space="preserve"> deterministas y </w:t>
      </w:r>
      <w:r w:rsidR="00B837A9" w:rsidRPr="00FA384A">
        <w:rPr>
          <w:rFonts w:cstheme="minorHAnsi"/>
        </w:rPr>
        <w:t xml:space="preserve">los </w:t>
      </w:r>
      <w:r w:rsidRPr="00FA384A">
        <w:rPr>
          <w:rFonts w:cstheme="minorHAnsi"/>
        </w:rPr>
        <w:t>estocásticos. E</w:t>
      </w:r>
      <w:r w:rsidR="00B00B18" w:rsidRPr="00FA384A">
        <w:rPr>
          <w:rFonts w:cstheme="minorHAnsi"/>
        </w:rPr>
        <w:t xml:space="preserve">n el </w:t>
      </w:r>
      <w:r w:rsidR="00672959" w:rsidRPr="00FA384A">
        <w:rPr>
          <w:rFonts w:cstheme="minorHAnsi"/>
        </w:rPr>
        <w:t>método</w:t>
      </w:r>
      <w:r w:rsidR="00AD7555" w:rsidRPr="00FA384A">
        <w:rPr>
          <w:rFonts w:cstheme="minorHAnsi"/>
        </w:rPr>
        <w:t xml:space="preserve"> determin</w:t>
      </w:r>
      <w:r w:rsidR="00B00B18" w:rsidRPr="00FA384A">
        <w:rPr>
          <w:rFonts w:cstheme="minorHAnsi"/>
        </w:rPr>
        <w:t>i</w:t>
      </w:r>
      <w:r w:rsidR="00AD7555" w:rsidRPr="00FA384A">
        <w:rPr>
          <w:rFonts w:cstheme="minorHAnsi"/>
        </w:rPr>
        <w:t>st</w:t>
      </w:r>
      <w:r w:rsidR="00B00B18" w:rsidRPr="00FA384A">
        <w:rPr>
          <w:rFonts w:cstheme="minorHAnsi"/>
        </w:rPr>
        <w:t>a</w:t>
      </w:r>
      <w:r w:rsidR="00AD7555" w:rsidRPr="00FA384A">
        <w:rPr>
          <w:rFonts w:cstheme="minorHAnsi"/>
        </w:rPr>
        <w:t xml:space="preserve"> las discrepancias entre el </w:t>
      </w:r>
      <w:r w:rsidR="00970D8B" w:rsidRPr="00FA384A">
        <w:rPr>
          <w:rFonts w:cstheme="minorHAnsi"/>
        </w:rPr>
        <w:t>resultado alcanzado</w:t>
      </w:r>
      <w:r w:rsidR="00AD7555" w:rsidRPr="00FA384A">
        <w:rPr>
          <w:rFonts w:cstheme="minorHAnsi"/>
        </w:rPr>
        <w:t xml:space="preserve"> y </w:t>
      </w:r>
      <w:r w:rsidR="00970D8B" w:rsidRPr="00FA384A">
        <w:rPr>
          <w:rFonts w:cstheme="minorHAnsi"/>
        </w:rPr>
        <w:t xml:space="preserve">el máximo alcanzable </w:t>
      </w:r>
      <w:r w:rsidR="00AD7555" w:rsidRPr="00FA384A">
        <w:rPr>
          <w:rFonts w:cstheme="minorHAnsi"/>
        </w:rPr>
        <w:t xml:space="preserve">son atribuidas a ineficiencias, </w:t>
      </w:r>
      <w:r w:rsidR="008E5A4D" w:rsidRPr="00FA384A">
        <w:rPr>
          <w:rFonts w:cstheme="minorHAnsi"/>
        </w:rPr>
        <w:t>de modo que no se considera</w:t>
      </w:r>
      <w:r w:rsidR="00AD7555" w:rsidRPr="00FA384A">
        <w:rPr>
          <w:rFonts w:cstheme="minorHAnsi"/>
        </w:rPr>
        <w:t xml:space="preserve"> la posibilidad </w:t>
      </w:r>
      <w:r w:rsidR="00970D8B" w:rsidRPr="00FA384A">
        <w:rPr>
          <w:rFonts w:cstheme="minorHAnsi"/>
        </w:rPr>
        <w:t xml:space="preserve">de </w:t>
      </w:r>
      <w:r w:rsidR="00AD7555" w:rsidRPr="00FA384A">
        <w:rPr>
          <w:rFonts w:cstheme="minorHAnsi"/>
        </w:rPr>
        <w:t>que dichas diferencias se orig</w:t>
      </w:r>
      <w:r w:rsidR="00CD7BD4" w:rsidRPr="00FA384A">
        <w:rPr>
          <w:rFonts w:cstheme="minorHAnsi"/>
        </w:rPr>
        <w:t>inen</w:t>
      </w:r>
      <w:r w:rsidR="00AD7555" w:rsidRPr="00FA384A">
        <w:rPr>
          <w:rFonts w:cstheme="minorHAnsi"/>
        </w:rPr>
        <w:t xml:space="preserve"> en </w:t>
      </w:r>
      <w:r w:rsidR="00CF3252" w:rsidRPr="00FA384A">
        <w:rPr>
          <w:rFonts w:cstheme="minorHAnsi"/>
        </w:rPr>
        <w:t xml:space="preserve">factores </w:t>
      </w:r>
      <w:r w:rsidR="00CD7BD4" w:rsidRPr="00FA384A">
        <w:rPr>
          <w:rFonts w:cstheme="minorHAnsi"/>
        </w:rPr>
        <w:t xml:space="preserve">externos o </w:t>
      </w:r>
      <w:r w:rsidR="00CF3252" w:rsidRPr="00FA384A">
        <w:rPr>
          <w:rFonts w:cstheme="minorHAnsi"/>
        </w:rPr>
        <w:t xml:space="preserve">aleatorios </w:t>
      </w:r>
      <w:r w:rsidR="00867D80" w:rsidRPr="00FA384A">
        <w:rPr>
          <w:rFonts w:cstheme="minorHAnsi"/>
        </w:rPr>
        <w:t xml:space="preserve">condicionantes </w:t>
      </w:r>
      <w:r w:rsidR="00CD7BD4" w:rsidRPr="00FA384A">
        <w:rPr>
          <w:rFonts w:cstheme="minorHAnsi"/>
        </w:rPr>
        <w:t xml:space="preserve">que se encuentran fuera del control </w:t>
      </w:r>
      <w:r w:rsidR="00AD7555" w:rsidRPr="00FA384A">
        <w:rPr>
          <w:rFonts w:cstheme="minorHAnsi"/>
        </w:rPr>
        <w:t xml:space="preserve">de las </w:t>
      </w:r>
      <w:r w:rsidR="0058642E" w:rsidRPr="00FA384A">
        <w:rPr>
          <w:rFonts w:cstheme="minorHAnsi"/>
        </w:rPr>
        <w:t>unidades</w:t>
      </w:r>
      <w:r w:rsidR="001E3077" w:rsidRPr="00FA384A">
        <w:rPr>
          <w:rFonts w:cstheme="minorHAnsi"/>
        </w:rPr>
        <w:t xml:space="preserve"> analizadas</w:t>
      </w:r>
      <w:r w:rsidR="00AD7555" w:rsidRPr="00FA384A">
        <w:rPr>
          <w:rFonts w:cstheme="minorHAnsi"/>
        </w:rPr>
        <w:t>.</w:t>
      </w:r>
      <w:r w:rsidRPr="00FA384A">
        <w:rPr>
          <w:rFonts w:cstheme="minorHAnsi"/>
        </w:rPr>
        <w:t xml:space="preserve"> </w:t>
      </w:r>
      <w:r w:rsidR="00867D80" w:rsidRPr="00FA384A">
        <w:rPr>
          <w:rFonts w:cstheme="minorHAnsi"/>
        </w:rPr>
        <w:t xml:space="preserve">En el </w:t>
      </w:r>
      <w:r w:rsidR="00672959" w:rsidRPr="00FA384A">
        <w:rPr>
          <w:rFonts w:cstheme="minorHAnsi"/>
        </w:rPr>
        <w:t>método</w:t>
      </w:r>
      <w:r w:rsidR="00867D80" w:rsidRPr="00FA384A">
        <w:rPr>
          <w:rFonts w:cstheme="minorHAnsi"/>
        </w:rPr>
        <w:t xml:space="preserve"> estocástico las discrepancias entre el resultado alcanzado y el máximo alcanzable son atribuidas a ineficiencias como así también </w:t>
      </w:r>
      <w:r w:rsidR="003A69E1" w:rsidRPr="00FA384A">
        <w:rPr>
          <w:rFonts w:cstheme="minorHAnsi"/>
        </w:rPr>
        <w:t>a</w:t>
      </w:r>
      <w:r w:rsidR="00867D80" w:rsidRPr="00FA384A">
        <w:rPr>
          <w:rFonts w:cstheme="minorHAnsi"/>
        </w:rPr>
        <w:t xml:space="preserve"> factores </w:t>
      </w:r>
      <w:r w:rsidR="003A69E1" w:rsidRPr="00FA384A">
        <w:rPr>
          <w:rFonts w:cstheme="minorHAnsi"/>
        </w:rPr>
        <w:t xml:space="preserve">externos o </w:t>
      </w:r>
      <w:r w:rsidR="00867D80" w:rsidRPr="00FA384A">
        <w:rPr>
          <w:rFonts w:cstheme="minorHAnsi"/>
        </w:rPr>
        <w:t xml:space="preserve">aleatorios condicionantes </w:t>
      </w:r>
      <w:r w:rsidR="0055670C" w:rsidRPr="00FA384A">
        <w:rPr>
          <w:rFonts w:cstheme="minorHAnsi"/>
        </w:rPr>
        <w:t xml:space="preserve">que se encuentran fuera del control </w:t>
      </w:r>
      <w:r w:rsidR="00867D80" w:rsidRPr="00FA384A">
        <w:rPr>
          <w:rFonts w:cstheme="minorHAnsi"/>
        </w:rPr>
        <w:t>de las unidades analizadas.</w:t>
      </w:r>
    </w:p>
    <w:p w14:paraId="760702D9" w14:textId="77777777" w:rsidR="00A86747" w:rsidRPr="00FA384A" w:rsidRDefault="002F0566" w:rsidP="00FA384A">
      <w:pPr>
        <w:autoSpaceDE w:val="0"/>
        <w:autoSpaceDN w:val="0"/>
        <w:adjustRightInd w:val="0"/>
        <w:spacing w:after="0" w:line="360" w:lineRule="auto"/>
        <w:ind w:firstLine="567"/>
        <w:jc w:val="both"/>
        <w:rPr>
          <w:rFonts w:cstheme="minorHAnsi"/>
        </w:rPr>
      </w:pPr>
      <w:r w:rsidRPr="00FA384A">
        <w:rPr>
          <w:rFonts w:cstheme="minorHAnsi"/>
        </w:rPr>
        <w:t>En la Figura</w:t>
      </w:r>
      <w:r w:rsidR="00414CF9" w:rsidRPr="00FA384A">
        <w:rPr>
          <w:rFonts w:cstheme="minorHAnsi"/>
        </w:rPr>
        <w:t xml:space="preserve"> 1 se </w:t>
      </w:r>
      <w:r w:rsidR="009B2CB3" w:rsidRPr="00FA384A">
        <w:rPr>
          <w:rFonts w:cstheme="minorHAnsi"/>
        </w:rPr>
        <w:t>exponen</w:t>
      </w:r>
      <w:r w:rsidR="00414CF9" w:rsidRPr="00FA384A">
        <w:rPr>
          <w:rFonts w:cstheme="minorHAnsi"/>
        </w:rPr>
        <w:t xml:space="preserve"> </w:t>
      </w:r>
      <w:r w:rsidR="009B2CB3" w:rsidRPr="00FA384A">
        <w:rPr>
          <w:rFonts w:cstheme="minorHAnsi"/>
        </w:rPr>
        <w:t>l</w:t>
      </w:r>
      <w:r w:rsidR="004D4CDF" w:rsidRPr="00FA384A">
        <w:rPr>
          <w:rFonts w:cstheme="minorHAnsi"/>
        </w:rPr>
        <w:t xml:space="preserve">os principales métodos para estimar la frontera de </w:t>
      </w:r>
      <w:r w:rsidR="009B2CB3" w:rsidRPr="00FA384A">
        <w:rPr>
          <w:rFonts w:cstheme="minorHAnsi"/>
        </w:rPr>
        <w:t>eficiencia</w:t>
      </w:r>
      <w:r w:rsidR="00280E95" w:rsidRPr="00FA384A">
        <w:rPr>
          <w:rFonts w:cstheme="minorHAnsi"/>
        </w:rPr>
        <w:t>.</w:t>
      </w:r>
    </w:p>
    <w:tbl>
      <w:tblPr>
        <w:tblW w:w="6628" w:type="dxa"/>
        <w:jc w:val="center"/>
        <w:tblCellMar>
          <w:left w:w="70" w:type="dxa"/>
          <w:right w:w="70" w:type="dxa"/>
        </w:tblCellMar>
        <w:tblLook w:val="04A0" w:firstRow="1" w:lastRow="0" w:firstColumn="1" w:lastColumn="0" w:noHBand="0" w:noVBand="1"/>
      </w:tblPr>
      <w:tblGrid>
        <w:gridCol w:w="2203"/>
        <w:gridCol w:w="1540"/>
        <w:gridCol w:w="1510"/>
        <w:gridCol w:w="1375"/>
      </w:tblGrid>
      <w:tr w:rsidR="00B748E2" w:rsidRPr="00755B91" w14:paraId="30C60879" w14:textId="77777777" w:rsidTr="0058642E">
        <w:trPr>
          <w:trHeight w:val="509"/>
          <w:jc w:val="center"/>
        </w:trPr>
        <w:tc>
          <w:tcPr>
            <w:tcW w:w="2203" w:type="dxa"/>
            <w:vMerge w:val="restart"/>
            <w:tcBorders>
              <w:top w:val="single" w:sz="4" w:space="0" w:color="auto"/>
              <w:left w:val="single" w:sz="4" w:space="0" w:color="auto"/>
              <w:bottom w:val="single" w:sz="4" w:space="0" w:color="000000"/>
              <w:right w:val="single" w:sz="4" w:space="0" w:color="auto"/>
            </w:tcBorders>
            <w:shd w:val="clear" w:color="auto" w:fill="00B0F0"/>
            <w:noWrap/>
            <w:vAlign w:val="center"/>
            <w:hideMark/>
          </w:tcPr>
          <w:p w14:paraId="7B4CF19C" w14:textId="77777777" w:rsidR="00B748E2" w:rsidRPr="00660B15" w:rsidRDefault="00B748E2" w:rsidP="00755B91">
            <w:pPr>
              <w:spacing w:after="0" w:line="360" w:lineRule="auto"/>
              <w:jc w:val="both"/>
              <w:rPr>
                <w:rFonts w:eastAsia="Times New Roman" w:cstheme="minorHAnsi"/>
                <w:b/>
                <w:color w:val="000000"/>
                <w:sz w:val="20"/>
                <w:szCs w:val="20"/>
                <w:lang w:eastAsia="es-AR"/>
              </w:rPr>
            </w:pPr>
            <w:r w:rsidRPr="00660B15">
              <w:rPr>
                <w:rFonts w:eastAsia="Times New Roman" w:cstheme="minorHAnsi"/>
                <w:b/>
                <w:color w:val="000000"/>
                <w:sz w:val="20"/>
                <w:szCs w:val="20"/>
                <w:lang w:eastAsia="es-AR"/>
              </w:rPr>
              <w:t>Método</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noWrap/>
            <w:vAlign w:val="center"/>
            <w:hideMark/>
          </w:tcPr>
          <w:p w14:paraId="51DDF8D0" w14:textId="77777777" w:rsidR="00B748E2" w:rsidRPr="00660B15" w:rsidRDefault="00B748E2" w:rsidP="00755B91">
            <w:pPr>
              <w:spacing w:after="0" w:line="360" w:lineRule="auto"/>
              <w:jc w:val="both"/>
              <w:rPr>
                <w:rFonts w:eastAsia="Times New Roman" w:cstheme="minorHAnsi"/>
                <w:b/>
                <w:color w:val="000000"/>
                <w:sz w:val="20"/>
                <w:szCs w:val="20"/>
                <w:lang w:eastAsia="es-AR"/>
              </w:rPr>
            </w:pPr>
            <w:r w:rsidRPr="00660B15">
              <w:rPr>
                <w:rFonts w:eastAsia="Times New Roman" w:cstheme="minorHAnsi"/>
                <w:b/>
                <w:color w:val="000000"/>
                <w:sz w:val="20"/>
                <w:szCs w:val="20"/>
                <w:lang w:eastAsia="es-AR"/>
              </w:rPr>
              <w:t>Paramétrico</w:t>
            </w:r>
          </w:p>
        </w:tc>
        <w:tc>
          <w:tcPr>
            <w:tcW w:w="1510" w:type="dxa"/>
            <w:vMerge w:val="restart"/>
            <w:tcBorders>
              <w:top w:val="single" w:sz="4" w:space="0" w:color="auto"/>
              <w:left w:val="single" w:sz="4" w:space="0" w:color="auto"/>
              <w:bottom w:val="single" w:sz="4" w:space="0" w:color="000000"/>
              <w:right w:val="single" w:sz="4" w:space="0" w:color="auto"/>
            </w:tcBorders>
            <w:shd w:val="clear" w:color="auto" w:fill="B6DDE8" w:themeFill="accent5" w:themeFillTint="66"/>
            <w:noWrap/>
            <w:vAlign w:val="center"/>
            <w:hideMark/>
          </w:tcPr>
          <w:p w14:paraId="4B9F293D" w14:textId="77777777" w:rsidR="00B748E2" w:rsidRPr="00660B15" w:rsidRDefault="00B748E2" w:rsidP="00755B91">
            <w:pPr>
              <w:spacing w:after="0" w:line="360" w:lineRule="auto"/>
              <w:jc w:val="both"/>
              <w:rPr>
                <w:rFonts w:eastAsia="Times New Roman" w:cstheme="minorHAnsi"/>
                <w:color w:val="000000"/>
                <w:sz w:val="20"/>
                <w:szCs w:val="20"/>
                <w:lang w:eastAsia="es-AR"/>
              </w:rPr>
            </w:pPr>
            <w:r w:rsidRPr="00660B15">
              <w:rPr>
                <w:rFonts w:eastAsia="Times New Roman" w:cstheme="minorHAnsi"/>
                <w:color w:val="000000"/>
                <w:sz w:val="20"/>
                <w:szCs w:val="20"/>
                <w:lang w:eastAsia="es-AR"/>
              </w:rPr>
              <w:t>Estadístico</w:t>
            </w:r>
          </w:p>
        </w:tc>
        <w:tc>
          <w:tcPr>
            <w:tcW w:w="1375" w:type="dxa"/>
            <w:vMerge w:val="restart"/>
            <w:tcBorders>
              <w:top w:val="single" w:sz="4" w:space="0" w:color="auto"/>
              <w:left w:val="single" w:sz="4" w:space="0" w:color="auto"/>
              <w:bottom w:val="nil"/>
              <w:right w:val="single" w:sz="4" w:space="0" w:color="auto"/>
            </w:tcBorders>
            <w:shd w:val="clear" w:color="auto" w:fill="B6DDE8" w:themeFill="accent5" w:themeFillTint="66"/>
            <w:vAlign w:val="center"/>
            <w:hideMark/>
          </w:tcPr>
          <w:p w14:paraId="33FDF5A8" w14:textId="77777777" w:rsidR="00B748E2" w:rsidRPr="00660B15" w:rsidRDefault="00B748E2" w:rsidP="00755B91">
            <w:pPr>
              <w:spacing w:after="0" w:line="360" w:lineRule="auto"/>
              <w:jc w:val="both"/>
              <w:rPr>
                <w:rFonts w:eastAsia="Times New Roman" w:cstheme="minorHAnsi"/>
                <w:color w:val="000000"/>
                <w:sz w:val="20"/>
                <w:szCs w:val="20"/>
                <w:lang w:eastAsia="es-AR"/>
              </w:rPr>
            </w:pPr>
            <w:r w:rsidRPr="00660B15">
              <w:rPr>
                <w:rFonts w:eastAsia="Times New Roman" w:cstheme="minorHAnsi"/>
                <w:color w:val="000000"/>
                <w:sz w:val="20"/>
                <w:szCs w:val="20"/>
                <w:lang w:eastAsia="es-AR"/>
              </w:rPr>
              <w:t>Determinista Estocástico</w:t>
            </w:r>
          </w:p>
        </w:tc>
      </w:tr>
      <w:tr w:rsidR="00B748E2" w:rsidRPr="00755B91" w14:paraId="2E3D30B3" w14:textId="77777777" w:rsidTr="0058642E">
        <w:trPr>
          <w:trHeight w:val="509"/>
          <w:jc w:val="center"/>
        </w:trPr>
        <w:tc>
          <w:tcPr>
            <w:tcW w:w="2203" w:type="dxa"/>
            <w:vMerge/>
            <w:tcBorders>
              <w:top w:val="single" w:sz="4" w:space="0" w:color="auto"/>
              <w:left w:val="single" w:sz="4" w:space="0" w:color="auto"/>
              <w:bottom w:val="single" w:sz="4" w:space="0" w:color="000000"/>
              <w:right w:val="single" w:sz="4" w:space="0" w:color="auto"/>
            </w:tcBorders>
            <w:shd w:val="clear" w:color="auto" w:fill="00B0F0"/>
            <w:vAlign w:val="center"/>
            <w:hideMark/>
          </w:tcPr>
          <w:p w14:paraId="383FC6A6"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40" w:type="dxa"/>
            <w:vMerge/>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14:paraId="01B4AD18" w14:textId="77777777" w:rsidR="00B748E2" w:rsidRPr="00660B15" w:rsidRDefault="00B748E2" w:rsidP="00755B91">
            <w:pPr>
              <w:spacing w:after="0" w:line="360" w:lineRule="auto"/>
              <w:jc w:val="both"/>
              <w:rPr>
                <w:rFonts w:eastAsia="Times New Roman" w:cstheme="minorHAnsi"/>
                <w:b/>
                <w:color w:val="000000"/>
                <w:sz w:val="20"/>
                <w:szCs w:val="20"/>
                <w:lang w:eastAsia="es-AR"/>
              </w:rPr>
            </w:pPr>
          </w:p>
        </w:tc>
        <w:tc>
          <w:tcPr>
            <w:tcW w:w="1510" w:type="dxa"/>
            <w:vMerge/>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hideMark/>
          </w:tcPr>
          <w:p w14:paraId="0B611C95"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375" w:type="dxa"/>
            <w:vMerge/>
            <w:tcBorders>
              <w:top w:val="single" w:sz="4" w:space="0" w:color="auto"/>
              <w:left w:val="single" w:sz="4" w:space="0" w:color="auto"/>
              <w:bottom w:val="nil"/>
              <w:right w:val="single" w:sz="4" w:space="0" w:color="auto"/>
            </w:tcBorders>
            <w:shd w:val="clear" w:color="auto" w:fill="B6DDE8" w:themeFill="accent5" w:themeFillTint="66"/>
            <w:vAlign w:val="center"/>
            <w:hideMark/>
          </w:tcPr>
          <w:p w14:paraId="27922FB6"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r>
      <w:tr w:rsidR="00B748E2" w:rsidRPr="00755B91" w14:paraId="67E4BE21" w14:textId="77777777" w:rsidTr="0058642E">
        <w:trPr>
          <w:trHeight w:val="509"/>
          <w:jc w:val="center"/>
        </w:trPr>
        <w:tc>
          <w:tcPr>
            <w:tcW w:w="2203" w:type="dxa"/>
            <w:vMerge/>
            <w:tcBorders>
              <w:top w:val="single" w:sz="4" w:space="0" w:color="auto"/>
              <w:left w:val="single" w:sz="4" w:space="0" w:color="auto"/>
              <w:bottom w:val="single" w:sz="4" w:space="0" w:color="000000"/>
              <w:right w:val="single" w:sz="4" w:space="0" w:color="auto"/>
            </w:tcBorders>
            <w:shd w:val="clear" w:color="auto" w:fill="00B0F0"/>
            <w:vAlign w:val="center"/>
            <w:hideMark/>
          </w:tcPr>
          <w:p w14:paraId="7C821A94"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40" w:type="dxa"/>
            <w:vMerge/>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14:paraId="26429644" w14:textId="77777777" w:rsidR="00B748E2" w:rsidRPr="00660B15" w:rsidRDefault="00B748E2" w:rsidP="00755B91">
            <w:pPr>
              <w:spacing w:after="0" w:line="360" w:lineRule="auto"/>
              <w:jc w:val="both"/>
              <w:rPr>
                <w:rFonts w:eastAsia="Times New Roman" w:cstheme="minorHAnsi"/>
                <w:b/>
                <w:color w:val="000000"/>
                <w:sz w:val="20"/>
                <w:szCs w:val="20"/>
                <w:lang w:eastAsia="es-AR"/>
              </w:rPr>
            </w:pPr>
          </w:p>
        </w:tc>
        <w:tc>
          <w:tcPr>
            <w:tcW w:w="1510" w:type="dxa"/>
            <w:vMerge w:val="restart"/>
            <w:tcBorders>
              <w:top w:val="nil"/>
              <w:left w:val="single" w:sz="4" w:space="0" w:color="auto"/>
              <w:bottom w:val="single" w:sz="4" w:space="0" w:color="000000"/>
              <w:right w:val="single" w:sz="4" w:space="0" w:color="auto"/>
            </w:tcBorders>
            <w:shd w:val="clear" w:color="auto" w:fill="B6DDE8" w:themeFill="accent5" w:themeFillTint="66"/>
            <w:vAlign w:val="center"/>
            <w:hideMark/>
          </w:tcPr>
          <w:p w14:paraId="638B7F8D" w14:textId="77777777" w:rsidR="00B748E2" w:rsidRPr="00660B15" w:rsidRDefault="00B748E2" w:rsidP="00755B91">
            <w:pPr>
              <w:spacing w:after="0" w:line="360" w:lineRule="auto"/>
              <w:jc w:val="both"/>
              <w:rPr>
                <w:rFonts w:eastAsia="Times New Roman" w:cstheme="minorHAnsi"/>
                <w:color w:val="000000"/>
                <w:sz w:val="20"/>
                <w:szCs w:val="20"/>
                <w:lang w:eastAsia="es-AR"/>
              </w:rPr>
            </w:pPr>
            <w:r w:rsidRPr="00660B15">
              <w:rPr>
                <w:rFonts w:eastAsia="Times New Roman" w:cstheme="minorHAnsi"/>
                <w:color w:val="000000"/>
                <w:sz w:val="20"/>
                <w:szCs w:val="20"/>
                <w:lang w:eastAsia="es-AR"/>
              </w:rPr>
              <w:t>Programación matemática</w:t>
            </w:r>
          </w:p>
        </w:tc>
        <w:tc>
          <w:tcPr>
            <w:tcW w:w="1375" w:type="dxa"/>
            <w:vMerge w:val="restart"/>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hideMark/>
          </w:tcPr>
          <w:p w14:paraId="79A91DAF" w14:textId="77777777" w:rsidR="00B748E2" w:rsidRPr="00660B15" w:rsidRDefault="00B748E2" w:rsidP="00755B91">
            <w:pPr>
              <w:spacing w:after="0" w:line="360" w:lineRule="auto"/>
              <w:jc w:val="both"/>
              <w:rPr>
                <w:rFonts w:eastAsia="Times New Roman" w:cstheme="minorHAnsi"/>
                <w:color w:val="000000"/>
                <w:sz w:val="20"/>
                <w:szCs w:val="20"/>
                <w:lang w:eastAsia="es-AR"/>
              </w:rPr>
            </w:pPr>
            <w:r w:rsidRPr="00660B15">
              <w:rPr>
                <w:rFonts w:eastAsia="Times New Roman" w:cstheme="minorHAnsi"/>
                <w:color w:val="000000"/>
                <w:sz w:val="20"/>
                <w:szCs w:val="20"/>
                <w:lang w:eastAsia="es-AR"/>
              </w:rPr>
              <w:t>Determinista Estocástico</w:t>
            </w:r>
          </w:p>
        </w:tc>
      </w:tr>
      <w:tr w:rsidR="00B748E2" w:rsidRPr="00755B91" w14:paraId="734D0E67" w14:textId="77777777" w:rsidTr="0058642E">
        <w:trPr>
          <w:trHeight w:val="509"/>
          <w:jc w:val="center"/>
        </w:trPr>
        <w:tc>
          <w:tcPr>
            <w:tcW w:w="2203" w:type="dxa"/>
            <w:vMerge/>
            <w:tcBorders>
              <w:top w:val="single" w:sz="4" w:space="0" w:color="auto"/>
              <w:left w:val="single" w:sz="4" w:space="0" w:color="auto"/>
              <w:bottom w:val="single" w:sz="4" w:space="0" w:color="000000"/>
              <w:right w:val="single" w:sz="4" w:space="0" w:color="auto"/>
            </w:tcBorders>
            <w:shd w:val="clear" w:color="auto" w:fill="00B0F0"/>
            <w:vAlign w:val="center"/>
            <w:hideMark/>
          </w:tcPr>
          <w:p w14:paraId="4D5EE60F"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40" w:type="dxa"/>
            <w:vMerge/>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14:paraId="4CACA0C5" w14:textId="77777777" w:rsidR="00B748E2" w:rsidRPr="00660B15" w:rsidRDefault="00B748E2" w:rsidP="00755B91">
            <w:pPr>
              <w:spacing w:after="0" w:line="360" w:lineRule="auto"/>
              <w:jc w:val="both"/>
              <w:rPr>
                <w:rFonts w:eastAsia="Times New Roman" w:cstheme="minorHAnsi"/>
                <w:b/>
                <w:color w:val="000000"/>
                <w:sz w:val="20"/>
                <w:szCs w:val="20"/>
                <w:lang w:eastAsia="es-AR"/>
              </w:rPr>
            </w:pPr>
          </w:p>
        </w:tc>
        <w:tc>
          <w:tcPr>
            <w:tcW w:w="1510"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14:paraId="15A07ECF"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375" w:type="dxa"/>
            <w:vMerge/>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hideMark/>
          </w:tcPr>
          <w:p w14:paraId="492D8B7D"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r>
      <w:tr w:rsidR="00B748E2" w:rsidRPr="00755B91" w14:paraId="1934BB98" w14:textId="77777777" w:rsidTr="0058642E">
        <w:trPr>
          <w:trHeight w:val="509"/>
          <w:jc w:val="center"/>
        </w:trPr>
        <w:tc>
          <w:tcPr>
            <w:tcW w:w="2203" w:type="dxa"/>
            <w:vMerge/>
            <w:tcBorders>
              <w:top w:val="single" w:sz="4" w:space="0" w:color="auto"/>
              <w:left w:val="single" w:sz="4" w:space="0" w:color="auto"/>
              <w:bottom w:val="single" w:sz="4" w:space="0" w:color="000000"/>
              <w:right w:val="single" w:sz="4" w:space="0" w:color="auto"/>
            </w:tcBorders>
            <w:shd w:val="clear" w:color="auto" w:fill="00B0F0"/>
            <w:vAlign w:val="center"/>
            <w:hideMark/>
          </w:tcPr>
          <w:p w14:paraId="6E2E7702"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40" w:type="dxa"/>
            <w:vMerge/>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14:paraId="07986FA8" w14:textId="77777777" w:rsidR="00B748E2" w:rsidRPr="00660B15" w:rsidRDefault="00B748E2" w:rsidP="00755B91">
            <w:pPr>
              <w:spacing w:after="0" w:line="360" w:lineRule="auto"/>
              <w:jc w:val="both"/>
              <w:rPr>
                <w:rFonts w:eastAsia="Times New Roman" w:cstheme="minorHAnsi"/>
                <w:b/>
                <w:color w:val="000000"/>
                <w:sz w:val="20"/>
                <w:szCs w:val="20"/>
                <w:lang w:eastAsia="es-AR"/>
              </w:rPr>
            </w:pPr>
          </w:p>
        </w:tc>
        <w:tc>
          <w:tcPr>
            <w:tcW w:w="1510"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14:paraId="7E00311B"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375" w:type="dxa"/>
            <w:vMerge/>
            <w:tcBorders>
              <w:top w:val="single" w:sz="4" w:space="0" w:color="auto"/>
              <w:left w:val="single" w:sz="4" w:space="0" w:color="auto"/>
              <w:bottom w:val="single" w:sz="4" w:space="0" w:color="000000"/>
              <w:right w:val="single" w:sz="4" w:space="0" w:color="auto"/>
            </w:tcBorders>
            <w:shd w:val="clear" w:color="auto" w:fill="B6DDE8" w:themeFill="accent5" w:themeFillTint="66"/>
            <w:vAlign w:val="center"/>
            <w:hideMark/>
          </w:tcPr>
          <w:p w14:paraId="6868D809"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r>
      <w:tr w:rsidR="00B748E2" w:rsidRPr="00755B91" w14:paraId="01B06D59" w14:textId="77777777" w:rsidTr="0058642E">
        <w:trPr>
          <w:trHeight w:val="509"/>
          <w:jc w:val="center"/>
        </w:trPr>
        <w:tc>
          <w:tcPr>
            <w:tcW w:w="2203" w:type="dxa"/>
            <w:vMerge/>
            <w:tcBorders>
              <w:top w:val="single" w:sz="4" w:space="0" w:color="auto"/>
              <w:left w:val="single" w:sz="4" w:space="0" w:color="auto"/>
              <w:bottom w:val="single" w:sz="4" w:space="0" w:color="000000"/>
              <w:right w:val="single" w:sz="4" w:space="0" w:color="auto"/>
            </w:tcBorders>
            <w:shd w:val="clear" w:color="auto" w:fill="00B0F0"/>
            <w:vAlign w:val="center"/>
            <w:hideMark/>
          </w:tcPr>
          <w:p w14:paraId="170D8665"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40" w:type="dxa"/>
            <w:vMerge w:val="restart"/>
            <w:tcBorders>
              <w:top w:val="nil"/>
              <w:left w:val="single" w:sz="4" w:space="0" w:color="auto"/>
              <w:bottom w:val="single" w:sz="4" w:space="0" w:color="000000"/>
              <w:right w:val="single" w:sz="4" w:space="0" w:color="auto"/>
            </w:tcBorders>
            <w:shd w:val="clear" w:color="auto" w:fill="B2A1C7" w:themeFill="accent4" w:themeFillTint="99"/>
            <w:noWrap/>
            <w:vAlign w:val="center"/>
            <w:hideMark/>
          </w:tcPr>
          <w:p w14:paraId="7CE991CD" w14:textId="77777777" w:rsidR="00B748E2" w:rsidRPr="00660B15" w:rsidRDefault="00B748E2" w:rsidP="00755B91">
            <w:pPr>
              <w:spacing w:after="0" w:line="360" w:lineRule="auto"/>
              <w:jc w:val="both"/>
              <w:rPr>
                <w:rFonts w:eastAsia="Times New Roman" w:cstheme="minorHAnsi"/>
                <w:b/>
                <w:color w:val="000000"/>
                <w:sz w:val="20"/>
                <w:szCs w:val="20"/>
                <w:lang w:eastAsia="es-AR"/>
              </w:rPr>
            </w:pPr>
            <w:r w:rsidRPr="00660B15">
              <w:rPr>
                <w:rFonts w:eastAsia="Times New Roman" w:cstheme="minorHAnsi"/>
                <w:b/>
                <w:color w:val="000000"/>
                <w:sz w:val="20"/>
                <w:szCs w:val="20"/>
                <w:lang w:eastAsia="es-AR"/>
              </w:rPr>
              <w:t>No Paramétrico</w:t>
            </w:r>
          </w:p>
        </w:tc>
        <w:tc>
          <w:tcPr>
            <w:tcW w:w="1510" w:type="dxa"/>
            <w:vMerge w:val="restart"/>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278B5FC2" w14:textId="77777777" w:rsidR="00B748E2" w:rsidRPr="00660B15" w:rsidRDefault="00B748E2" w:rsidP="00755B91">
            <w:pPr>
              <w:spacing w:after="0" w:line="360" w:lineRule="auto"/>
              <w:jc w:val="both"/>
              <w:rPr>
                <w:rFonts w:eastAsia="Times New Roman" w:cstheme="minorHAnsi"/>
                <w:color w:val="000000"/>
                <w:sz w:val="20"/>
                <w:szCs w:val="20"/>
                <w:lang w:eastAsia="es-AR"/>
              </w:rPr>
            </w:pPr>
            <w:r w:rsidRPr="00660B15">
              <w:rPr>
                <w:rFonts w:eastAsia="Times New Roman" w:cstheme="minorHAnsi"/>
                <w:color w:val="000000"/>
                <w:sz w:val="20"/>
                <w:szCs w:val="20"/>
                <w:lang w:eastAsia="es-AR"/>
              </w:rPr>
              <w:t>Programación matemática</w:t>
            </w:r>
          </w:p>
        </w:tc>
        <w:tc>
          <w:tcPr>
            <w:tcW w:w="1375" w:type="dxa"/>
            <w:vMerge w:val="restart"/>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28E559BD" w14:textId="77777777" w:rsidR="00B748E2" w:rsidRPr="00660B15" w:rsidRDefault="00B748E2" w:rsidP="00755B91">
            <w:pPr>
              <w:spacing w:after="0" w:line="360" w:lineRule="auto"/>
              <w:jc w:val="both"/>
              <w:rPr>
                <w:rFonts w:eastAsia="Times New Roman" w:cstheme="minorHAnsi"/>
                <w:color w:val="000000"/>
                <w:sz w:val="20"/>
                <w:szCs w:val="20"/>
                <w:lang w:eastAsia="es-AR"/>
              </w:rPr>
            </w:pPr>
            <w:r w:rsidRPr="00660B15">
              <w:rPr>
                <w:rFonts w:eastAsia="Times New Roman" w:cstheme="minorHAnsi"/>
                <w:color w:val="000000"/>
                <w:sz w:val="20"/>
                <w:szCs w:val="20"/>
                <w:lang w:eastAsia="es-AR"/>
              </w:rPr>
              <w:t>Determinista Estocástico</w:t>
            </w:r>
          </w:p>
        </w:tc>
      </w:tr>
      <w:tr w:rsidR="00B748E2" w:rsidRPr="00755B91" w14:paraId="3CDA871B" w14:textId="77777777" w:rsidTr="0058642E">
        <w:trPr>
          <w:trHeight w:val="509"/>
          <w:jc w:val="center"/>
        </w:trPr>
        <w:tc>
          <w:tcPr>
            <w:tcW w:w="2203" w:type="dxa"/>
            <w:vMerge/>
            <w:tcBorders>
              <w:top w:val="single" w:sz="4" w:space="0" w:color="auto"/>
              <w:left w:val="single" w:sz="4" w:space="0" w:color="auto"/>
              <w:bottom w:val="single" w:sz="4" w:space="0" w:color="000000"/>
              <w:right w:val="single" w:sz="4" w:space="0" w:color="auto"/>
            </w:tcBorders>
            <w:shd w:val="clear" w:color="auto" w:fill="00B0F0"/>
            <w:vAlign w:val="center"/>
            <w:hideMark/>
          </w:tcPr>
          <w:p w14:paraId="685F9FF5"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40" w:type="dxa"/>
            <w:vMerge/>
            <w:tcBorders>
              <w:top w:val="nil"/>
              <w:left w:val="single" w:sz="4" w:space="0" w:color="auto"/>
              <w:bottom w:val="single" w:sz="4" w:space="0" w:color="000000"/>
              <w:right w:val="single" w:sz="4" w:space="0" w:color="auto"/>
            </w:tcBorders>
            <w:shd w:val="clear" w:color="auto" w:fill="B2A1C7" w:themeFill="accent4" w:themeFillTint="99"/>
            <w:vAlign w:val="center"/>
            <w:hideMark/>
          </w:tcPr>
          <w:p w14:paraId="378875CA"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10" w:type="dxa"/>
            <w:vMerge/>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091B9390"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375" w:type="dxa"/>
            <w:vMerge/>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01F8B23D"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r>
      <w:tr w:rsidR="00B748E2" w:rsidRPr="00755B91" w14:paraId="4450EF54" w14:textId="77777777" w:rsidTr="0058642E">
        <w:trPr>
          <w:trHeight w:val="509"/>
          <w:jc w:val="center"/>
        </w:trPr>
        <w:tc>
          <w:tcPr>
            <w:tcW w:w="2203" w:type="dxa"/>
            <w:vMerge/>
            <w:tcBorders>
              <w:top w:val="single" w:sz="4" w:space="0" w:color="auto"/>
              <w:left w:val="single" w:sz="4" w:space="0" w:color="auto"/>
              <w:bottom w:val="single" w:sz="4" w:space="0" w:color="000000"/>
              <w:right w:val="single" w:sz="4" w:space="0" w:color="auto"/>
            </w:tcBorders>
            <w:shd w:val="clear" w:color="auto" w:fill="00B0F0"/>
            <w:vAlign w:val="center"/>
            <w:hideMark/>
          </w:tcPr>
          <w:p w14:paraId="267DF273"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40" w:type="dxa"/>
            <w:vMerge/>
            <w:tcBorders>
              <w:top w:val="nil"/>
              <w:left w:val="single" w:sz="4" w:space="0" w:color="auto"/>
              <w:bottom w:val="single" w:sz="4" w:space="0" w:color="000000"/>
              <w:right w:val="single" w:sz="4" w:space="0" w:color="auto"/>
            </w:tcBorders>
            <w:shd w:val="clear" w:color="auto" w:fill="B2A1C7" w:themeFill="accent4" w:themeFillTint="99"/>
            <w:vAlign w:val="center"/>
            <w:hideMark/>
          </w:tcPr>
          <w:p w14:paraId="48CAF5E0"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10" w:type="dxa"/>
            <w:vMerge/>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2D4772E2"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375" w:type="dxa"/>
            <w:vMerge/>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290F2025"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r>
      <w:tr w:rsidR="00B748E2" w:rsidRPr="00755B91" w14:paraId="1E270506" w14:textId="77777777" w:rsidTr="0058642E">
        <w:trPr>
          <w:trHeight w:val="509"/>
          <w:jc w:val="center"/>
        </w:trPr>
        <w:tc>
          <w:tcPr>
            <w:tcW w:w="2203" w:type="dxa"/>
            <w:vMerge/>
            <w:tcBorders>
              <w:top w:val="single" w:sz="4" w:space="0" w:color="auto"/>
              <w:left w:val="single" w:sz="4" w:space="0" w:color="auto"/>
              <w:bottom w:val="single" w:sz="4" w:space="0" w:color="000000"/>
              <w:right w:val="single" w:sz="4" w:space="0" w:color="auto"/>
            </w:tcBorders>
            <w:shd w:val="clear" w:color="auto" w:fill="00B0F0"/>
            <w:vAlign w:val="center"/>
            <w:hideMark/>
          </w:tcPr>
          <w:p w14:paraId="6FFA32B8"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40" w:type="dxa"/>
            <w:vMerge/>
            <w:tcBorders>
              <w:top w:val="nil"/>
              <w:left w:val="single" w:sz="4" w:space="0" w:color="auto"/>
              <w:bottom w:val="single" w:sz="4" w:space="0" w:color="000000"/>
              <w:right w:val="single" w:sz="4" w:space="0" w:color="auto"/>
            </w:tcBorders>
            <w:shd w:val="clear" w:color="auto" w:fill="B2A1C7" w:themeFill="accent4" w:themeFillTint="99"/>
            <w:vAlign w:val="center"/>
            <w:hideMark/>
          </w:tcPr>
          <w:p w14:paraId="6C78A870"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510" w:type="dxa"/>
            <w:vMerge/>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6BE2CA98"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c>
          <w:tcPr>
            <w:tcW w:w="1375" w:type="dxa"/>
            <w:vMerge/>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7683176F" w14:textId="77777777" w:rsidR="00B748E2" w:rsidRPr="00660B15" w:rsidRDefault="00B748E2" w:rsidP="00755B91">
            <w:pPr>
              <w:spacing w:after="0" w:line="360" w:lineRule="auto"/>
              <w:jc w:val="both"/>
              <w:rPr>
                <w:rFonts w:eastAsia="Times New Roman" w:cstheme="minorHAnsi"/>
                <w:color w:val="000000"/>
                <w:sz w:val="20"/>
                <w:szCs w:val="20"/>
                <w:lang w:eastAsia="es-AR"/>
              </w:rPr>
            </w:pPr>
          </w:p>
        </w:tc>
      </w:tr>
    </w:tbl>
    <w:p w14:paraId="29DB83CF" w14:textId="0A9B9A02" w:rsidR="00B426E1" w:rsidRPr="00660B15" w:rsidRDefault="00B20C46" w:rsidP="00660B15">
      <w:pPr>
        <w:autoSpaceDE w:val="0"/>
        <w:autoSpaceDN w:val="0"/>
        <w:adjustRightInd w:val="0"/>
        <w:spacing w:after="0" w:line="240" w:lineRule="auto"/>
        <w:jc w:val="both"/>
        <w:rPr>
          <w:rFonts w:cstheme="minorHAnsi"/>
          <w:bCs/>
          <w:sz w:val="20"/>
          <w:szCs w:val="20"/>
        </w:rPr>
      </w:pPr>
      <w:r w:rsidRPr="00660B15">
        <w:rPr>
          <w:rFonts w:cstheme="minorHAnsi"/>
          <w:bCs/>
          <w:sz w:val="20"/>
          <w:szCs w:val="20"/>
        </w:rPr>
        <w:t>Figura 1: Métodos para estimar la frontera de eficiencia</w:t>
      </w:r>
      <w:r w:rsidR="00660B15" w:rsidRPr="00660B15">
        <w:rPr>
          <w:rFonts w:cstheme="minorHAnsi"/>
          <w:bCs/>
          <w:sz w:val="20"/>
          <w:szCs w:val="20"/>
        </w:rPr>
        <w:t xml:space="preserve">. </w:t>
      </w:r>
      <w:r w:rsidR="00B426E1" w:rsidRPr="00660B15">
        <w:rPr>
          <w:rFonts w:cstheme="minorHAnsi"/>
          <w:bCs/>
          <w:sz w:val="20"/>
          <w:szCs w:val="20"/>
        </w:rPr>
        <w:t>Fuente: Adaptación de Coll Serrano y Blasco “Evaluación de la Eficiencia</w:t>
      </w:r>
      <w:r w:rsidR="0058642E" w:rsidRPr="00660B15">
        <w:rPr>
          <w:rFonts w:cstheme="minorHAnsi"/>
          <w:bCs/>
          <w:sz w:val="20"/>
          <w:szCs w:val="20"/>
        </w:rPr>
        <w:t xml:space="preserve"> mediante</w:t>
      </w:r>
      <w:r w:rsidR="00660B15" w:rsidRPr="00660B15">
        <w:rPr>
          <w:rFonts w:cstheme="minorHAnsi"/>
          <w:bCs/>
          <w:sz w:val="20"/>
          <w:szCs w:val="20"/>
        </w:rPr>
        <w:t xml:space="preserve"> </w:t>
      </w:r>
      <w:r w:rsidR="00B426E1" w:rsidRPr="00660B15">
        <w:rPr>
          <w:rFonts w:cstheme="minorHAnsi"/>
          <w:bCs/>
          <w:sz w:val="20"/>
          <w:szCs w:val="20"/>
        </w:rPr>
        <w:t>el Análisis Envolvente de Datos. Introducción a los modelos básicos” (2006).</w:t>
      </w:r>
    </w:p>
    <w:p w14:paraId="655C6567" w14:textId="77777777" w:rsidR="0058642E" w:rsidRPr="00755B91" w:rsidRDefault="0058642E" w:rsidP="00755B91">
      <w:pPr>
        <w:autoSpaceDE w:val="0"/>
        <w:autoSpaceDN w:val="0"/>
        <w:adjustRightInd w:val="0"/>
        <w:spacing w:after="0" w:line="360" w:lineRule="auto"/>
        <w:jc w:val="both"/>
        <w:rPr>
          <w:rFonts w:cstheme="minorHAnsi"/>
        </w:rPr>
      </w:pPr>
    </w:p>
    <w:p w14:paraId="24AB0C04" w14:textId="77777777" w:rsidR="00BF0CDD" w:rsidRPr="00755B91" w:rsidRDefault="0042521C" w:rsidP="00660B15">
      <w:pPr>
        <w:autoSpaceDE w:val="0"/>
        <w:autoSpaceDN w:val="0"/>
        <w:adjustRightInd w:val="0"/>
        <w:spacing w:after="0" w:line="360" w:lineRule="auto"/>
        <w:ind w:firstLine="567"/>
        <w:jc w:val="both"/>
        <w:rPr>
          <w:rFonts w:cstheme="minorHAnsi"/>
        </w:rPr>
      </w:pPr>
      <w:r w:rsidRPr="00755B91">
        <w:rPr>
          <w:rFonts w:cstheme="minorHAnsi"/>
        </w:rPr>
        <w:t xml:space="preserve">A los fines de este artículo, se utiliza </w:t>
      </w:r>
      <w:r w:rsidR="009738E4" w:rsidRPr="00755B91">
        <w:rPr>
          <w:rFonts w:cstheme="minorHAnsi"/>
        </w:rPr>
        <w:t>la</w:t>
      </w:r>
      <w:r w:rsidRPr="00755B91">
        <w:rPr>
          <w:rFonts w:cstheme="minorHAnsi"/>
        </w:rPr>
        <w:t xml:space="preserve"> m</w:t>
      </w:r>
      <w:r w:rsidR="009738E4" w:rsidRPr="00755B91">
        <w:rPr>
          <w:rFonts w:cstheme="minorHAnsi"/>
        </w:rPr>
        <w:t>e</w:t>
      </w:r>
      <w:r w:rsidRPr="00755B91">
        <w:rPr>
          <w:rFonts w:cstheme="minorHAnsi"/>
        </w:rPr>
        <w:t>todo</w:t>
      </w:r>
      <w:r w:rsidR="009738E4" w:rsidRPr="00755B91">
        <w:rPr>
          <w:rFonts w:cstheme="minorHAnsi"/>
        </w:rPr>
        <w:t>logía</w:t>
      </w:r>
      <w:r w:rsidRPr="00755B91">
        <w:rPr>
          <w:rFonts w:cstheme="minorHAnsi"/>
        </w:rPr>
        <w:t xml:space="preserve"> </w:t>
      </w:r>
      <w:r w:rsidR="009738E4" w:rsidRPr="00755B91">
        <w:rPr>
          <w:rFonts w:cstheme="minorHAnsi"/>
        </w:rPr>
        <w:t>del Análisis Envolvente de Datos (DEA) que representa un método no paramétrico, determinista y que utiliza la programación matemática para calcular la frontera de eficiencia</w:t>
      </w:r>
      <w:r w:rsidR="009929C1" w:rsidRPr="00755B91">
        <w:rPr>
          <w:rFonts w:cstheme="minorHAnsi"/>
        </w:rPr>
        <w:t>.</w:t>
      </w:r>
      <w:r w:rsidR="00BF0CDD" w:rsidRPr="00755B91">
        <w:rPr>
          <w:rFonts w:cstheme="minorHAnsi"/>
        </w:rPr>
        <w:t xml:space="preserve"> </w:t>
      </w:r>
      <w:r w:rsidR="009738E4" w:rsidRPr="00755B91">
        <w:rPr>
          <w:rFonts w:cstheme="minorHAnsi"/>
        </w:rPr>
        <w:t>Las características de la metodología DEA se explican a continuación.</w:t>
      </w:r>
    </w:p>
    <w:p w14:paraId="50F8C8FF" w14:textId="77777777" w:rsidR="00EB4A60" w:rsidRPr="00755B91" w:rsidRDefault="00EB4A60" w:rsidP="00755B91">
      <w:pPr>
        <w:autoSpaceDE w:val="0"/>
        <w:autoSpaceDN w:val="0"/>
        <w:adjustRightInd w:val="0"/>
        <w:spacing w:after="0" w:line="360" w:lineRule="auto"/>
        <w:jc w:val="both"/>
        <w:rPr>
          <w:rFonts w:cstheme="minorHAnsi"/>
        </w:rPr>
      </w:pPr>
    </w:p>
    <w:p w14:paraId="36BD54DC" w14:textId="77777777" w:rsidR="00B20C46" w:rsidRPr="00755B91" w:rsidRDefault="00B20C46" w:rsidP="00755B91">
      <w:pPr>
        <w:autoSpaceDE w:val="0"/>
        <w:autoSpaceDN w:val="0"/>
        <w:adjustRightInd w:val="0"/>
        <w:spacing w:after="0" w:line="360" w:lineRule="auto"/>
        <w:jc w:val="both"/>
        <w:rPr>
          <w:rFonts w:cstheme="minorHAnsi"/>
          <w:b/>
        </w:rPr>
      </w:pPr>
    </w:p>
    <w:p w14:paraId="0B13EEF3" w14:textId="1B6881D9" w:rsidR="00A53493" w:rsidRPr="00755B91" w:rsidRDefault="00B20C46" w:rsidP="00660B15">
      <w:pPr>
        <w:autoSpaceDE w:val="0"/>
        <w:autoSpaceDN w:val="0"/>
        <w:adjustRightInd w:val="0"/>
        <w:spacing w:after="0" w:line="360" w:lineRule="auto"/>
        <w:ind w:firstLine="284"/>
        <w:jc w:val="both"/>
        <w:rPr>
          <w:rFonts w:cstheme="minorHAnsi"/>
          <w:b/>
        </w:rPr>
      </w:pPr>
      <w:r w:rsidRPr="00755B91">
        <w:rPr>
          <w:rFonts w:cstheme="minorHAnsi"/>
          <w:b/>
        </w:rPr>
        <w:lastRenderedPageBreak/>
        <w:t>Metodología del análisis envolvente de datos (</w:t>
      </w:r>
      <w:r w:rsidR="00660B15" w:rsidRPr="00755B91">
        <w:rPr>
          <w:rFonts w:cstheme="minorHAnsi"/>
          <w:b/>
        </w:rPr>
        <w:t>DEA</w:t>
      </w:r>
      <w:r w:rsidRPr="00755B91">
        <w:rPr>
          <w:rFonts w:cstheme="minorHAnsi"/>
          <w:b/>
        </w:rPr>
        <w:t>)</w:t>
      </w:r>
    </w:p>
    <w:p w14:paraId="16C28F1C" w14:textId="35504C93" w:rsidR="00405B14" w:rsidRPr="00755B91" w:rsidRDefault="00C96C71" w:rsidP="00660B15">
      <w:pPr>
        <w:spacing w:after="0" w:line="360" w:lineRule="auto"/>
        <w:ind w:firstLine="567"/>
        <w:jc w:val="both"/>
        <w:rPr>
          <w:rFonts w:cstheme="minorHAnsi"/>
        </w:rPr>
      </w:pPr>
      <w:r w:rsidRPr="00755B91">
        <w:rPr>
          <w:rFonts w:cstheme="minorHAnsi"/>
        </w:rPr>
        <w:t>La eficiencia analizada con</w:t>
      </w:r>
      <w:r w:rsidR="00642C56" w:rsidRPr="00755B91">
        <w:rPr>
          <w:rFonts w:cstheme="minorHAnsi"/>
        </w:rPr>
        <w:t xml:space="preserve"> </w:t>
      </w:r>
      <w:r w:rsidRPr="00755B91">
        <w:rPr>
          <w:rFonts w:cstheme="minorHAnsi"/>
        </w:rPr>
        <w:t xml:space="preserve">la </w:t>
      </w:r>
      <w:r w:rsidR="00642C56" w:rsidRPr="00755B91">
        <w:rPr>
          <w:rFonts w:cstheme="minorHAnsi"/>
        </w:rPr>
        <w:t xml:space="preserve">metodología DEA </w:t>
      </w:r>
      <w:r w:rsidR="00125321" w:rsidRPr="00755B91">
        <w:rPr>
          <w:rFonts w:cstheme="minorHAnsi"/>
        </w:rPr>
        <w:t>“</w:t>
      </w:r>
      <w:r w:rsidR="00105D2B" w:rsidRPr="00755B91">
        <w:rPr>
          <w:rFonts w:cstheme="minorHAnsi"/>
        </w:rPr>
        <w:t xml:space="preserve">iniciada por Farrell (1957) fue reformulada como un problema de programación matemático </w:t>
      </w:r>
      <w:r w:rsidR="00642C56" w:rsidRPr="00755B91">
        <w:rPr>
          <w:rFonts w:cstheme="minorHAnsi"/>
        </w:rPr>
        <w:t xml:space="preserve">por </w:t>
      </w:r>
      <w:proofErr w:type="spellStart"/>
      <w:r w:rsidR="00642C56" w:rsidRPr="00755B91">
        <w:rPr>
          <w:rFonts w:cstheme="minorHAnsi"/>
        </w:rPr>
        <w:t>Charnes</w:t>
      </w:r>
      <w:proofErr w:type="spellEnd"/>
      <w:r w:rsidR="00642C56" w:rsidRPr="00755B91">
        <w:rPr>
          <w:rFonts w:cstheme="minorHAnsi"/>
        </w:rPr>
        <w:t>, Cooper y Rhodes</w:t>
      </w:r>
      <w:r w:rsidR="00105D2B" w:rsidRPr="00755B91">
        <w:rPr>
          <w:rFonts w:cstheme="minorHAnsi"/>
        </w:rPr>
        <w:t xml:space="preserve"> (1978)</w:t>
      </w:r>
      <w:r w:rsidR="00B82C7C" w:rsidRPr="00755B91">
        <w:rPr>
          <w:rFonts w:cstheme="minorHAnsi"/>
        </w:rPr>
        <w:t>, con un modelo de rendimientos constantes a escala”</w:t>
      </w:r>
      <w:r w:rsidR="00031ADB" w:rsidRPr="00755B91">
        <w:rPr>
          <w:rFonts w:cstheme="minorHAnsi"/>
        </w:rPr>
        <w:t xml:space="preserve"> (</w:t>
      </w:r>
      <w:r w:rsidR="000C222B" w:rsidRPr="00755B91">
        <w:rPr>
          <w:rFonts w:cstheme="minorHAnsi"/>
        </w:rPr>
        <w:t>Navarro-Chávez y Delfín</w:t>
      </w:r>
      <w:r w:rsidR="009945AD" w:rsidRPr="00755B91">
        <w:rPr>
          <w:rFonts w:cstheme="minorHAnsi"/>
        </w:rPr>
        <w:t>-</w:t>
      </w:r>
      <w:r w:rsidR="000C222B" w:rsidRPr="00755B91">
        <w:rPr>
          <w:rFonts w:cstheme="minorHAnsi"/>
        </w:rPr>
        <w:t>Ortega</w:t>
      </w:r>
      <w:r w:rsidR="00031ADB" w:rsidRPr="00755B91">
        <w:rPr>
          <w:rFonts w:cstheme="minorHAnsi"/>
        </w:rPr>
        <w:t>, 20</w:t>
      </w:r>
      <w:r w:rsidR="000C222B" w:rsidRPr="00755B91">
        <w:rPr>
          <w:rFonts w:cstheme="minorHAnsi"/>
        </w:rPr>
        <w:t>20</w:t>
      </w:r>
      <w:r w:rsidR="00031ADB" w:rsidRPr="00755B91">
        <w:rPr>
          <w:rFonts w:cstheme="minorHAnsi"/>
        </w:rPr>
        <w:t xml:space="preserve">, p. </w:t>
      </w:r>
      <w:r w:rsidR="000C222B" w:rsidRPr="00755B91">
        <w:rPr>
          <w:rFonts w:cstheme="minorHAnsi"/>
        </w:rPr>
        <w:t>267</w:t>
      </w:r>
      <w:r w:rsidR="00031ADB" w:rsidRPr="00755B91">
        <w:rPr>
          <w:rFonts w:cstheme="minorHAnsi"/>
        </w:rPr>
        <w:t>)</w:t>
      </w:r>
      <w:r w:rsidR="00642C56" w:rsidRPr="00755B91">
        <w:rPr>
          <w:rFonts w:cstheme="minorHAnsi"/>
        </w:rPr>
        <w:t>.</w:t>
      </w:r>
      <w:r w:rsidR="00FD75C1" w:rsidRPr="00755B91">
        <w:rPr>
          <w:rFonts w:cstheme="minorHAnsi"/>
          <w:color w:val="FF0000"/>
        </w:rPr>
        <w:t xml:space="preserve"> </w:t>
      </w:r>
      <w:r w:rsidR="00FD75C1" w:rsidRPr="00755B91">
        <w:rPr>
          <w:rFonts w:cstheme="minorHAnsi"/>
        </w:rPr>
        <w:t xml:space="preserve">Es </w:t>
      </w:r>
      <w:r w:rsidR="008B4512" w:rsidRPr="00755B91">
        <w:rPr>
          <w:rFonts w:cstheme="minorHAnsi"/>
        </w:rPr>
        <w:t>un método determinístico</w:t>
      </w:r>
      <w:r w:rsidR="00B92FB5" w:rsidRPr="00755B91">
        <w:rPr>
          <w:rFonts w:cstheme="minorHAnsi"/>
        </w:rPr>
        <w:t xml:space="preserve">, no </w:t>
      </w:r>
      <w:r w:rsidR="00194FFF" w:rsidRPr="00755B91">
        <w:rPr>
          <w:rFonts w:cstheme="minorHAnsi"/>
        </w:rPr>
        <w:t>estadístico</w:t>
      </w:r>
      <w:r w:rsidR="008B4512" w:rsidRPr="00755B91">
        <w:rPr>
          <w:rFonts w:cstheme="minorHAnsi"/>
        </w:rPr>
        <w:t xml:space="preserve"> y </w:t>
      </w:r>
      <w:r w:rsidR="00FD75C1" w:rsidRPr="00755B91">
        <w:rPr>
          <w:rFonts w:cstheme="minorHAnsi"/>
        </w:rPr>
        <w:t>no paramétric</w:t>
      </w:r>
      <w:r w:rsidR="008B4512" w:rsidRPr="00755B91">
        <w:rPr>
          <w:rFonts w:cstheme="minorHAnsi"/>
        </w:rPr>
        <w:t>o</w:t>
      </w:r>
      <w:r w:rsidR="00FD75C1" w:rsidRPr="00755B91">
        <w:rPr>
          <w:rFonts w:cstheme="minorHAnsi"/>
        </w:rPr>
        <w:t xml:space="preserve"> porque no hay parámetros, es decir</w:t>
      </w:r>
      <w:r w:rsidR="00125321" w:rsidRPr="00755B91">
        <w:rPr>
          <w:rFonts w:cstheme="minorHAnsi"/>
        </w:rPr>
        <w:t>,</w:t>
      </w:r>
      <w:r w:rsidR="00FD75C1" w:rsidRPr="00755B91">
        <w:rPr>
          <w:rFonts w:cstheme="minorHAnsi"/>
        </w:rPr>
        <w:t xml:space="preserve"> que </w:t>
      </w:r>
      <w:r w:rsidR="009E27EA" w:rsidRPr="00755B91">
        <w:rPr>
          <w:rFonts w:cstheme="minorHAnsi"/>
        </w:rPr>
        <w:t xml:space="preserve">no </w:t>
      </w:r>
      <w:r w:rsidR="00FD75C1" w:rsidRPr="00755B91">
        <w:rPr>
          <w:rFonts w:cstheme="minorHAnsi"/>
        </w:rPr>
        <w:t xml:space="preserve">existe </w:t>
      </w:r>
      <w:r w:rsidR="0096066B" w:rsidRPr="00755B91">
        <w:rPr>
          <w:rFonts w:cstheme="minorHAnsi"/>
        </w:rPr>
        <w:t xml:space="preserve">a priori </w:t>
      </w:r>
      <w:r w:rsidR="00FD75C1" w:rsidRPr="00755B91">
        <w:rPr>
          <w:rFonts w:cstheme="minorHAnsi"/>
        </w:rPr>
        <w:t>una función de producción que relacion</w:t>
      </w:r>
      <w:r w:rsidR="0036699B" w:rsidRPr="00755B91">
        <w:rPr>
          <w:rFonts w:cstheme="minorHAnsi"/>
        </w:rPr>
        <w:t>e</w:t>
      </w:r>
      <w:r w:rsidR="00FD75C1" w:rsidRPr="00755B91">
        <w:rPr>
          <w:rFonts w:cstheme="minorHAnsi"/>
        </w:rPr>
        <w:t xml:space="preserve"> </w:t>
      </w:r>
      <w:r w:rsidR="00125321" w:rsidRPr="00755B91">
        <w:rPr>
          <w:rFonts w:cstheme="minorHAnsi"/>
        </w:rPr>
        <w:t>“</w:t>
      </w:r>
      <w:r w:rsidR="00125321" w:rsidRPr="00660B15">
        <w:rPr>
          <w:rFonts w:cstheme="minorHAnsi"/>
          <w:i/>
          <w:iCs/>
        </w:rPr>
        <w:t>i</w:t>
      </w:r>
      <w:r w:rsidR="00FD75C1" w:rsidRPr="00660B15">
        <w:rPr>
          <w:rFonts w:cstheme="minorHAnsi"/>
          <w:i/>
          <w:iCs/>
        </w:rPr>
        <w:t>nput</w:t>
      </w:r>
      <w:r w:rsidR="00125321" w:rsidRPr="00755B91">
        <w:rPr>
          <w:rFonts w:cstheme="minorHAnsi"/>
        </w:rPr>
        <w:t>”</w:t>
      </w:r>
      <w:r w:rsidR="00FD75C1" w:rsidRPr="00755B91">
        <w:rPr>
          <w:rFonts w:cstheme="minorHAnsi"/>
        </w:rPr>
        <w:t xml:space="preserve"> con </w:t>
      </w:r>
      <w:r w:rsidR="00125321" w:rsidRPr="00755B91">
        <w:rPr>
          <w:rFonts w:cstheme="minorHAnsi"/>
        </w:rPr>
        <w:t>“</w:t>
      </w:r>
      <w:r w:rsidR="00B259FE" w:rsidRPr="00755B91">
        <w:rPr>
          <w:rFonts w:cstheme="minorHAnsi"/>
        </w:rPr>
        <w:t>“</w:t>
      </w:r>
      <w:r w:rsidR="00B259FE" w:rsidRPr="00660B15">
        <w:rPr>
          <w:rFonts w:cstheme="minorHAnsi"/>
          <w:i/>
          <w:iCs/>
        </w:rPr>
        <w:t>outputs</w:t>
      </w:r>
      <w:r w:rsidR="00B259FE" w:rsidRPr="00755B91">
        <w:rPr>
          <w:rFonts w:cstheme="minorHAnsi"/>
        </w:rPr>
        <w:t>”</w:t>
      </w:r>
      <w:r w:rsidR="00125321" w:rsidRPr="00755B91">
        <w:rPr>
          <w:rFonts w:cstheme="minorHAnsi"/>
        </w:rPr>
        <w:t>”</w:t>
      </w:r>
      <w:r w:rsidR="009E27EA" w:rsidRPr="00755B91">
        <w:rPr>
          <w:rFonts w:cstheme="minorHAnsi"/>
        </w:rPr>
        <w:t>, como así tampoco existe ningún supuesto acerca de la tecnología</w:t>
      </w:r>
      <w:r w:rsidR="004C219D" w:rsidRPr="00755B91">
        <w:rPr>
          <w:rFonts w:cstheme="minorHAnsi"/>
        </w:rPr>
        <w:t>.</w:t>
      </w:r>
      <w:r w:rsidR="00DE4C6C" w:rsidRPr="00755B91">
        <w:rPr>
          <w:rFonts w:cstheme="minorHAnsi"/>
        </w:rPr>
        <w:t xml:space="preserve"> </w:t>
      </w:r>
      <w:r w:rsidR="004C219D" w:rsidRPr="00755B91">
        <w:rPr>
          <w:rFonts w:cstheme="minorHAnsi"/>
        </w:rPr>
        <w:t>L</w:t>
      </w:r>
      <w:r w:rsidR="00DE4C6C" w:rsidRPr="00755B91">
        <w:rPr>
          <w:rFonts w:cstheme="minorHAnsi"/>
        </w:rPr>
        <w:t xml:space="preserve">a frontera de </w:t>
      </w:r>
      <w:r w:rsidR="007C24C6" w:rsidRPr="00755B91">
        <w:rPr>
          <w:rFonts w:cstheme="minorHAnsi"/>
        </w:rPr>
        <w:t>eficiencia</w:t>
      </w:r>
      <w:r w:rsidR="00DE4C6C" w:rsidRPr="00755B91">
        <w:rPr>
          <w:rFonts w:cstheme="minorHAnsi"/>
        </w:rPr>
        <w:t xml:space="preserve"> </w:t>
      </w:r>
      <w:r w:rsidR="00080581" w:rsidRPr="00755B91">
        <w:rPr>
          <w:rFonts w:cstheme="minorHAnsi"/>
        </w:rPr>
        <w:t xml:space="preserve">se traza </w:t>
      </w:r>
      <w:r w:rsidR="00DE4C6C" w:rsidRPr="00755B91">
        <w:rPr>
          <w:rFonts w:cstheme="minorHAnsi"/>
        </w:rPr>
        <w:t>a partir de las mejores prácticas</w:t>
      </w:r>
      <w:r w:rsidR="00273145" w:rsidRPr="00755B91">
        <w:rPr>
          <w:rFonts w:cstheme="minorHAnsi"/>
        </w:rPr>
        <w:t xml:space="preserve"> de las unidades observadas</w:t>
      </w:r>
      <w:r w:rsidR="0037775E" w:rsidRPr="00755B91">
        <w:rPr>
          <w:rFonts w:cstheme="minorHAnsi"/>
        </w:rPr>
        <w:t>, de modo que</w:t>
      </w:r>
      <w:r w:rsidR="00C53194" w:rsidRPr="00755B91">
        <w:rPr>
          <w:rFonts w:cstheme="minorHAnsi"/>
        </w:rPr>
        <w:t xml:space="preserve"> </w:t>
      </w:r>
      <w:r w:rsidR="00381C21" w:rsidRPr="00755B91">
        <w:rPr>
          <w:rFonts w:cstheme="minorHAnsi"/>
        </w:rPr>
        <w:t xml:space="preserve">la </w:t>
      </w:r>
      <w:r w:rsidR="00C53194" w:rsidRPr="00755B91">
        <w:rPr>
          <w:rFonts w:cstheme="minorHAnsi"/>
        </w:rPr>
        <w:t xml:space="preserve">eficiencia </w:t>
      </w:r>
      <w:r w:rsidR="003A50BA" w:rsidRPr="00755B91">
        <w:rPr>
          <w:rFonts w:cstheme="minorHAnsi"/>
        </w:rPr>
        <w:t xml:space="preserve">técnica </w:t>
      </w:r>
      <w:r w:rsidR="0037775E" w:rsidRPr="00755B91">
        <w:rPr>
          <w:rFonts w:cstheme="minorHAnsi"/>
        </w:rPr>
        <w:t xml:space="preserve">calculada es </w:t>
      </w:r>
      <w:r w:rsidR="00C53194" w:rsidRPr="00755B91">
        <w:rPr>
          <w:rFonts w:cstheme="minorHAnsi"/>
        </w:rPr>
        <w:t>relativa</w:t>
      </w:r>
      <w:r w:rsidR="0037775E" w:rsidRPr="00755B91">
        <w:rPr>
          <w:rFonts w:cstheme="minorHAnsi"/>
        </w:rPr>
        <w:t>.</w:t>
      </w:r>
      <w:r w:rsidR="008F3D23" w:rsidRPr="00755B91">
        <w:rPr>
          <w:rFonts w:cstheme="minorHAnsi"/>
        </w:rPr>
        <w:t xml:space="preserve"> </w:t>
      </w:r>
      <w:r w:rsidR="00A10EE5" w:rsidRPr="00755B91">
        <w:rPr>
          <w:rFonts w:cstheme="minorHAnsi"/>
        </w:rPr>
        <w:t xml:space="preserve">La metodología </w:t>
      </w:r>
      <w:r w:rsidR="0037775E" w:rsidRPr="00755B91">
        <w:rPr>
          <w:rFonts w:cstheme="minorHAnsi"/>
        </w:rPr>
        <w:t xml:space="preserve">DEA </w:t>
      </w:r>
      <w:r w:rsidR="008F3D23" w:rsidRPr="00755B91">
        <w:rPr>
          <w:rFonts w:cstheme="minorHAnsi"/>
        </w:rPr>
        <w:t>n</w:t>
      </w:r>
      <w:r w:rsidR="00C53194" w:rsidRPr="00755B91">
        <w:rPr>
          <w:rFonts w:cstheme="minorHAnsi"/>
        </w:rPr>
        <w:t xml:space="preserve">o calcula una eficiencia absoluta porque no compara las unidades </w:t>
      </w:r>
      <w:r w:rsidR="00A82842" w:rsidRPr="00755B91">
        <w:rPr>
          <w:rFonts w:cstheme="minorHAnsi"/>
        </w:rPr>
        <w:t>con un máximo teórico o un estándar ideal previamente establecido.</w:t>
      </w:r>
      <w:r w:rsidR="00735C23" w:rsidRPr="00755B91">
        <w:rPr>
          <w:rFonts w:cstheme="minorHAnsi"/>
        </w:rPr>
        <w:t xml:space="preserve"> </w:t>
      </w:r>
      <w:r w:rsidR="00405B14" w:rsidRPr="00755B91">
        <w:rPr>
          <w:rFonts w:cstheme="minorHAnsi"/>
        </w:rPr>
        <w:t xml:space="preserve">El método DEA </w:t>
      </w:r>
      <w:r w:rsidR="004C5150" w:rsidRPr="00755B91">
        <w:rPr>
          <w:rFonts w:cstheme="minorHAnsi"/>
        </w:rPr>
        <w:t>busca, a través de la programación lineal matemática,</w:t>
      </w:r>
      <w:r w:rsidR="00405B14" w:rsidRPr="00755B91">
        <w:rPr>
          <w:rFonts w:cstheme="minorHAnsi"/>
        </w:rPr>
        <w:t xml:space="preserve"> las ponderaciones de </w:t>
      </w:r>
      <w:r w:rsidR="00066CEC" w:rsidRPr="00755B91">
        <w:rPr>
          <w:rFonts w:cstheme="minorHAnsi"/>
        </w:rPr>
        <w:t>“</w:t>
      </w:r>
      <w:r w:rsidR="00066CEC" w:rsidRPr="00660B15">
        <w:rPr>
          <w:rFonts w:cstheme="minorHAnsi"/>
          <w:i/>
          <w:iCs/>
        </w:rPr>
        <w:t>o</w:t>
      </w:r>
      <w:r w:rsidR="00405B14" w:rsidRPr="00660B15">
        <w:rPr>
          <w:rFonts w:cstheme="minorHAnsi"/>
          <w:i/>
          <w:iCs/>
        </w:rPr>
        <w:t>utput</w:t>
      </w:r>
      <w:r w:rsidR="00066CEC" w:rsidRPr="00755B91">
        <w:rPr>
          <w:rFonts w:cstheme="minorHAnsi"/>
        </w:rPr>
        <w:t>”</w:t>
      </w:r>
      <w:r w:rsidR="00405B14" w:rsidRPr="00755B91">
        <w:rPr>
          <w:rFonts w:cstheme="minorHAnsi"/>
        </w:rPr>
        <w:t xml:space="preserve"> y de</w:t>
      </w:r>
      <w:r w:rsidR="00066CEC" w:rsidRPr="00755B91">
        <w:rPr>
          <w:rFonts w:cstheme="minorHAnsi"/>
        </w:rPr>
        <w:t xml:space="preserve"> “</w:t>
      </w:r>
      <w:r w:rsidR="00066CEC" w:rsidRPr="00660B15">
        <w:rPr>
          <w:rFonts w:cstheme="minorHAnsi"/>
          <w:i/>
          <w:iCs/>
        </w:rPr>
        <w:t>i</w:t>
      </w:r>
      <w:r w:rsidR="00405B14" w:rsidRPr="00660B15">
        <w:rPr>
          <w:rFonts w:cstheme="minorHAnsi"/>
          <w:i/>
          <w:iCs/>
        </w:rPr>
        <w:t>nput</w:t>
      </w:r>
      <w:r w:rsidR="00066CEC" w:rsidRPr="00755B91">
        <w:rPr>
          <w:rFonts w:cstheme="minorHAnsi"/>
        </w:rPr>
        <w:t>”</w:t>
      </w:r>
      <w:r w:rsidR="00405B14" w:rsidRPr="00755B91">
        <w:rPr>
          <w:rFonts w:cstheme="minorHAnsi"/>
        </w:rPr>
        <w:t xml:space="preserve"> más convenientes para cada unidad</w:t>
      </w:r>
      <w:r w:rsidR="009C1D4F" w:rsidRPr="00755B91">
        <w:rPr>
          <w:rFonts w:cstheme="minorHAnsi"/>
        </w:rPr>
        <w:t>;</w:t>
      </w:r>
      <w:r w:rsidR="00405B14" w:rsidRPr="00755B91">
        <w:rPr>
          <w:rFonts w:cstheme="minorHAnsi"/>
        </w:rPr>
        <w:t xml:space="preserve"> </w:t>
      </w:r>
      <w:r w:rsidR="009C1D4F" w:rsidRPr="00755B91">
        <w:rPr>
          <w:rFonts w:cstheme="minorHAnsi"/>
        </w:rPr>
        <w:t>la</w:t>
      </w:r>
      <w:r w:rsidR="00004615" w:rsidRPr="00755B91">
        <w:rPr>
          <w:rFonts w:cstheme="minorHAnsi"/>
        </w:rPr>
        <w:t xml:space="preserve"> universidad en este estudio</w:t>
      </w:r>
      <w:r w:rsidR="003B4DE2" w:rsidRPr="00755B91">
        <w:rPr>
          <w:rFonts w:cstheme="minorHAnsi"/>
        </w:rPr>
        <w:t>.</w:t>
      </w:r>
      <w:r w:rsidR="00AA6B1D" w:rsidRPr="00755B91">
        <w:rPr>
          <w:rFonts w:cstheme="minorHAnsi"/>
        </w:rPr>
        <w:t xml:space="preserve"> </w:t>
      </w:r>
      <w:r w:rsidR="001A46B8" w:rsidRPr="00755B91">
        <w:rPr>
          <w:rFonts w:cstheme="minorHAnsi"/>
        </w:rPr>
        <w:t xml:space="preserve">El programa calcula las ponderaciones más favorables que se aplicarán sobre los </w:t>
      </w:r>
      <w:r w:rsidR="00D572BB" w:rsidRPr="00755B91">
        <w:rPr>
          <w:rFonts w:cstheme="minorHAnsi"/>
        </w:rPr>
        <w:t>“</w:t>
      </w:r>
      <w:r w:rsidR="00B259FE" w:rsidRPr="00755B91">
        <w:rPr>
          <w:rFonts w:cstheme="minorHAnsi"/>
        </w:rPr>
        <w:t>“</w:t>
      </w:r>
      <w:r w:rsidR="00B259FE" w:rsidRPr="00660B15">
        <w:rPr>
          <w:rFonts w:cstheme="minorHAnsi"/>
          <w:i/>
          <w:iCs/>
        </w:rPr>
        <w:t>inputs</w:t>
      </w:r>
      <w:r w:rsidR="00B259FE" w:rsidRPr="00755B91">
        <w:rPr>
          <w:rFonts w:cstheme="minorHAnsi"/>
        </w:rPr>
        <w:t>”</w:t>
      </w:r>
      <w:r w:rsidR="00D572BB" w:rsidRPr="00755B91">
        <w:rPr>
          <w:rFonts w:cstheme="minorHAnsi"/>
        </w:rPr>
        <w:t>”</w:t>
      </w:r>
      <w:r w:rsidR="001A46B8" w:rsidRPr="00755B91">
        <w:rPr>
          <w:rFonts w:cstheme="minorHAnsi"/>
        </w:rPr>
        <w:t xml:space="preserve"> y </w:t>
      </w:r>
      <w:r w:rsidR="00D572BB" w:rsidRPr="00755B91">
        <w:rPr>
          <w:rFonts w:cstheme="minorHAnsi"/>
        </w:rPr>
        <w:t>“</w:t>
      </w:r>
      <w:r w:rsidR="00B259FE" w:rsidRPr="00755B91">
        <w:rPr>
          <w:rFonts w:cstheme="minorHAnsi"/>
        </w:rPr>
        <w:t>“</w:t>
      </w:r>
      <w:r w:rsidR="00B259FE" w:rsidRPr="00660B15">
        <w:rPr>
          <w:rFonts w:cstheme="minorHAnsi"/>
          <w:i/>
          <w:iCs/>
        </w:rPr>
        <w:t>outputs</w:t>
      </w:r>
      <w:r w:rsidR="00B259FE" w:rsidRPr="00755B91">
        <w:rPr>
          <w:rFonts w:cstheme="minorHAnsi"/>
        </w:rPr>
        <w:t>”</w:t>
      </w:r>
      <w:r w:rsidR="00D572BB" w:rsidRPr="00755B91">
        <w:rPr>
          <w:rFonts w:cstheme="minorHAnsi"/>
        </w:rPr>
        <w:t>”</w:t>
      </w:r>
      <w:r w:rsidR="001A46B8" w:rsidRPr="00755B91">
        <w:rPr>
          <w:rFonts w:cstheme="minorHAnsi"/>
        </w:rPr>
        <w:t xml:space="preserve"> para maximizar la eficiencia de las unidades analizadas.</w:t>
      </w:r>
      <w:r w:rsidR="00660B15">
        <w:rPr>
          <w:rFonts w:cstheme="minorHAnsi"/>
        </w:rPr>
        <w:t xml:space="preserve"> </w:t>
      </w:r>
      <w:r w:rsidR="00AA6B1D" w:rsidRPr="00755B91">
        <w:rPr>
          <w:rFonts w:cstheme="minorHAnsi"/>
        </w:rPr>
        <w:t xml:space="preserve">No requiere </w:t>
      </w:r>
      <w:proofErr w:type="gramStart"/>
      <w:r w:rsidR="00AA6B1D" w:rsidRPr="00755B91">
        <w:rPr>
          <w:rFonts w:cstheme="minorHAnsi"/>
        </w:rPr>
        <w:t xml:space="preserve">un </w:t>
      </w:r>
      <w:r w:rsidR="00AA6B1D" w:rsidRPr="00660B15">
        <w:rPr>
          <w:rFonts w:cstheme="minorHAnsi"/>
          <w:i/>
          <w:iCs/>
        </w:rPr>
        <w:t>test</w:t>
      </w:r>
      <w:proofErr w:type="gramEnd"/>
      <w:r w:rsidR="00AA6B1D" w:rsidRPr="00755B91">
        <w:rPr>
          <w:rFonts w:cstheme="minorHAnsi"/>
        </w:rPr>
        <w:t xml:space="preserve"> de significación estadística porque los datos se evalúan entre sí mismos.</w:t>
      </w:r>
    </w:p>
    <w:p w14:paraId="40F8ECCE" w14:textId="77777777" w:rsidR="002916A6" w:rsidRPr="00755B91" w:rsidRDefault="005F2214" w:rsidP="00660B15">
      <w:pPr>
        <w:pStyle w:val="Prrafodelista"/>
        <w:spacing w:after="0" w:line="360" w:lineRule="auto"/>
        <w:ind w:left="0" w:firstLine="567"/>
        <w:jc w:val="both"/>
        <w:rPr>
          <w:rFonts w:cstheme="minorHAnsi"/>
        </w:rPr>
      </w:pPr>
      <w:r w:rsidRPr="00755B91">
        <w:rPr>
          <w:rFonts w:cstheme="minorHAnsi"/>
        </w:rPr>
        <w:t>La metodología DEA busc</w:t>
      </w:r>
      <w:r w:rsidR="00E2769B" w:rsidRPr="00755B91">
        <w:rPr>
          <w:rFonts w:cstheme="minorHAnsi"/>
        </w:rPr>
        <w:t>a un juego de ponderaciones de “</w:t>
      </w:r>
      <w:r w:rsidR="00E2769B" w:rsidRPr="00660B15">
        <w:rPr>
          <w:rFonts w:cstheme="minorHAnsi"/>
          <w:i/>
          <w:iCs/>
        </w:rPr>
        <w:t>o</w:t>
      </w:r>
      <w:r w:rsidRPr="00660B15">
        <w:rPr>
          <w:rFonts w:cstheme="minorHAnsi"/>
          <w:i/>
          <w:iCs/>
        </w:rPr>
        <w:t>utput</w:t>
      </w:r>
      <w:r w:rsidR="00E2769B" w:rsidRPr="00755B91">
        <w:rPr>
          <w:rFonts w:cstheme="minorHAnsi"/>
        </w:rPr>
        <w:t>” y de ponderaciones de “</w:t>
      </w:r>
      <w:r w:rsidR="00E2769B" w:rsidRPr="00660B15">
        <w:rPr>
          <w:rFonts w:cstheme="minorHAnsi"/>
          <w:i/>
          <w:iCs/>
        </w:rPr>
        <w:t>i</w:t>
      </w:r>
      <w:r w:rsidRPr="00660B15">
        <w:rPr>
          <w:rFonts w:cstheme="minorHAnsi"/>
          <w:i/>
          <w:iCs/>
        </w:rPr>
        <w:t>nput</w:t>
      </w:r>
      <w:r w:rsidR="00E2769B" w:rsidRPr="00755B91">
        <w:rPr>
          <w:rFonts w:cstheme="minorHAnsi"/>
        </w:rPr>
        <w:t>”</w:t>
      </w:r>
      <w:r w:rsidRPr="00755B91">
        <w:rPr>
          <w:rFonts w:cstheme="minorHAnsi"/>
        </w:rPr>
        <w:t xml:space="preserve"> que sea la más conveniente para cada unidad productiva. </w:t>
      </w:r>
      <w:r w:rsidR="002916A6" w:rsidRPr="00755B91">
        <w:rPr>
          <w:rFonts w:cstheme="minorHAnsi"/>
        </w:rPr>
        <w:t xml:space="preserve">La eficiencia se calcula como el cociente entre la suma ponderada de </w:t>
      </w:r>
      <w:r w:rsidR="00B259FE" w:rsidRPr="00755B91">
        <w:rPr>
          <w:rFonts w:cstheme="minorHAnsi"/>
        </w:rPr>
        <w:t>“</w:t>
      </w:r>
      <w:r w:rsidR="00B259FE" w:rsidRPr="00660B15">
        <w:rPr>
          <w:rFonts w:cstheme="minorHAnsi"/>
          <w:i/>
          <w:iCs/>
        </w:rPr>
        <w:t>outputs</w:t>
      </w:r>
      <w:r w:rsidR="00B259FE" w:rsidRPr="00755B91">
        <w:rPr>
          <w:rFonts w:cstheme="minorHAnsi"/>
        </w:rPr>
        <w:t>”</w:t>
      </w:r>
      <w:r w:rsidR="002916A6" w:rsidRPr="00755B91">
        <w:rPr>
          <w:rFonts w:cstheme="minorHAnsi"/>
        </w:rPr>
        <w:t xml:space="preserve"> y la suma ponderada de </w:t>
      </w:r>
      <w:r w:rsidR="00B259FE" w:rsidRPr="00755B91">
        <w:rPr>
          <w:rFonts w:cstheme="minorHAnsi"/>
        </w:rPr>
        <w:t>“</w:t>
      </w:r>
      <w:r w:rsidR="00B259FE" w:rsidRPr="00660B15">
        <w:rPr>
          <w:rFonts w:cstheme="minorHAnsi"/>
          <w:i/>
          <w:iCs/>
        </w:rPr>
        <w:t>inputs</w:t>
      </w:r>
      <w:r w:rsidR="00B259FE" w:rsidRPr="00755B91">
        <w:rPr>
          <w:rFonts w:cstheme="minorHAnsi"/>
        </w:rPr>
        <w:t>”</w:t>
      </w:r>
      <w:r w:rsidR="002916A6" w:rsidRPr="00755B91">
        <w:rPr>
          <w:rFonts w:cstheme="minorHAnsi"/>
        </w:rPr>
        <w:t>, como se observa a continuación:</w:t>
      </w:r>
    </w:p>
    <w:p w14:paraId="28A16731" w14:textId="77777777" w:rsidR="00FE55AA" w:rsidRPr="00755B91" w:rsidRDefault="000078A9" w:rsidP="00660B15">
      <w:pPr>
        <w:pStyle w:val="Sinespaciado"/>
        <w:spacing w:line="360" w:lineRule="auto"/>
        <w:ind w:firstLine="567"/>
        <w:jc w:val="both"/>
        <w:rPr>
          <w:rFonts w:eastAsiaTheme="minorHAnsi" w:cstheme="minorHAnsi"/>
          <w:u w:val="single"/>
        </w:rPr>
      </w:pPr>
      <w:r w:rsidRPr="00755B91">
        <w:rPr>
          <w:rFonts w:eastAsiaTheme="minorHAnsi" w:cstheme="minorHAnsi"/>
        </w:rPr>
        <w:t>w</w:t>
      </w:r>
      <w:r w:rsidR="00FE55AA" w:rsidRPr="00755B91">
        <w:rPr>
          <w:rFonts w:eastAsiaTheme="minorHAnsi" w:cstheme="minorHAnsi"/>
        </w:rPr>
        <w:t xml:space="preserve">0= </w:t>
      </w:r>
      <w:r w:rsidR="00B01E06" w:rsidRPr="00755B91">
        <w:rPr>
          <w:rFonts w:eastAsiaTheme="minorHAnsi" w:cstheme="minorHAnsi"/>
          <w:i/>
          <w:iCs/>
          <w:u w:val="single"/>
        </w:rPr>
        <w:t>μy</w:t>
      </w:r>
      <w:r w:rsidR="00111455" w:rsidRPr="00755B91">
        <w:rPr>
          <w:rFonts w:eastAsiaTheme="minorHAnsi" w:cstheme="minorHAnsi"/>
          <w:i/>
          <w:iCs/>
          <w:u w:val="single"/>
        </w:rPr>
        <w:t>0</w:t>
      </w:r>
    </w:p>
    <w:p w14:paraId="530079CC" w14:textId="77777777" w:rsidR="004C5150" w:rsidRPr="00755B91" w:rsidRDefault="00536E98" w:rsidP="00660B15">
      <w:pPr>
        <w:pStyle w:val="Sinespaciado"/>
        <w:spacing w:line="360" w:lineRule="auto"/>
        <w:ind w:firstLine="567"/>
        <w:jc w:val="both"/>
        <w:rPr>
          <w:rFonts w:cstheme="minorHAnsi"/>
        </w:rPr>
      </w:pPr>
      <w:r w:rsidRPr="00755B91">
        <w:rPr>
          <w:rFonts w:eastAsiaTheme="minorHAnsi" w:cstheme="minorHAnsi"/>
        </w:rPr>
        <w:t xml:space="preserve">   </w:t>
      </w:r>
      <w:r w:rsidR="00AC2747" w:rsidRPr="00755B91">
        <w:rPr>
          <w:rFonts w:eastAsiaTheme="minorHAnsi" w:cstheme="minorHAnsi"/>
        </w:rPr>
        <w:t xml:space="preserve"> </w:t>
      </w:r>
      <w:r w:rsidR="00355DE2" w:rsidRPr="00755B91">
        <w:rPr>
          <w:rFonts w:eastAsiaTheme="minorHAnsi" w:cstheme="minorHAnsi"/>
          <w:i/>
          <w:iCs/>
        </w:rPr>
        <w:t>δx</w:t>
      </w:r>
      <w:r w:rsidR="00111455" w:rsidRPr="00755B91">
        <w:rPr>
          <w:rFonts w:eastAsiaTheme="minorHAnsi" w:cstheme="minorHAnsi"/>
          <w:i/>
          <w:iCs/>
        </w:rPr>
        <w:t>0</w:t>
      </w:r>
    </w:p>
    <w:p w14:paraId="544D6D63" w14:textId="77777777" w:rsidR="008E59D8" w:rsidRPr="00755B91" w:rsidRDefault="00D42DA1" w:rsidP="00660B15">
      <w:pPr>
        <w:autoSpaceDE w:val="0"/>
        <w:autoSpaceDN w:val="0"/>
        <w:adjustRightInd w:val="0"/>
        <w:spacing w:after="0" w:line="360" w:lineRule="auto"/>
        <w:ind w:firstLine="567"/>
        <w:jc w:val="both"/>
        <w:rPr>
          <w:rFonts w:cstheme="minorHAnsi"/>
        </w:rPr>
      </w:pPr>
      <w:r w:rsidRPr="00755B91">
        <w:rPr>
          <w:rFonts w:cstheme="minorHAnsi"/>
        </w:rPr>
        <w:t>d</w:t>
      </w:r>
      <w:r w:rsidR="008E59D8" w:rsidRPr="00755B91">
        <w:rPr>
          <w:rFonts w:cstheme="minorHAnsi"/>
        </w:rPr>
        <w:t>onde</w:t>
      </w:r>
      <w:r w:rsidR="007E3793" w:rsidRPr="00755B91">
        <w:rPr>
          <w:rFonts w:cstheme="minorHAnsi"/>
        </w:rPr>
        <w:t>:</w:t>
      </w:r>
    </w:p>
    <w:p w14:paraId="396A467B" w14:textId="77777777" w:rsidR="00A400AD" w:rsidRPr="00755B91" w:rsidRDefault="000078A9" w:rsidP="00660B15">
      <w:pPr>
        <w:autoSpaceDE w:val="0"/>
        <w:autoSpaceDN w:val="0"/>
        <w:adjustRightInd w:val="0"/>
        <w:spacing w:after="0" w:line="360" w:lineRule="auto"/>
        <w:ind w:firstLine="567"/>
        <w:jc w:val="both"/>
        <w:rPr>
          <w:rFonts w:cstheme="minorHAnsi"/>
        </w:rPr>
      </w:pPr>
      <w:r w:rsidRPr="00755B91">
        <w:rPr>
          <w:rFonts w:eastAsiaTheme="minorHAnsi" w:cstheme="minorHAnsi"/>
        </w:rPr>
        <w:t>w</w:t>
      </w:r>
      <w:r w:rsidR="00A400AD" w:rsidRPr="00755B91">
        <w:rPr>
          <w:rFonts w:eastAsiaTheme="minorHAnsi" w:cstheme="minorHAnsi"/>
        </w:rPr>
        <w:t xml:space="preserve">0 </w:t>
      </w:r>
      <w:r w:rsidR="00A400AD" w:rsidRPr="00755B91">
        <w:rPr>
          <w:rFonts w:cstheme="minorHAnsi"/>
        </w:rPr>
        <w:t>=</w:t>
      </w:r>
      <w:r w:rsidR="00A400AD" w:rsidRPr="00755B91">
        <w:rPr>
          <w:rFonts w:eastAsiaTheme="minorHAnsi" w:cstheme="minorHAnsi"/>
        </w:rPr>
        <w:t xml:space="preserve"> </w:t>
      </w:r>
      <w:r w:rsidR="00A400AD" w:rsidRPr="00755B91">
        <w:rPr>
          <w:rFonts w:cstheme="minorHAnsi"/>
        </w:rPr>
        <w:t>puntuación de eficiencia</w:t>
      </w:r>
    </w:p>
    <w:p w14:paraId="3D1EBC84" w14:textId="77777777" w:rsidR="00646B81" w:rsidRPr="00755B91" w:rsidRDefault="00111455" w:rsidP="00660B15">
      <w:pPr>
        <w:autoSpaceDE w:val="0"/>
        <w:autoSpaceDN w:val="0"/>
        <w:adjustRightInd w:val="0"/>
        <w:spacing w:after="0" w:line="360" w:lineRule="auto"/>
        <w:ind w:firstLine="567"/>
        <w:jc w:val="both"/>
        <w:rPr>
          <w:rFonts w:cstheme="minorHAnsi"/>
        </w:rPr>
      </w:pPr>
      <w:proofErr w:type="spellStart"/>
      <w:r w:rsidRPr="00755B91">
        <w:rPr>
          <w:rFonts w:eastAsiaTheme="minorHAnsi" w:cstheme="minorHAnsi"/>
          <w:i/>
          <w:iCs/>
          <w:u w:val="single"/>
        </w:rPr>
        <w:t>μr</w:t>
      </w:r>
      <w:proofErr w:type="spellEnd"/>
      <w:r w:rsidR="00646B81" w:rsidRPr="00755B91">
        <w:rPr>
          <w:rFonts w:cstheme="minorHAnsi"/>
        </w:rPr>
        <w:t xml:space="preserve"> = ponderación asignada al Output</w:t>
      </w:r>
    </w:p>
    <w:p w14:paraId="5F32FA01" w14:textId="77777777" w:rsidR="00646B81" w:rsidRPr="00755B91" w:rsidRDefault="00111455" w:rsidP="00660B15">
      <w:pPr>
        <w:autoSpaceDE w:val="0"/>
        <w:autoSpaceDN w:val="0"/>
        <w:adjustRightInd w:val="0"/>
        <w:spacing w:after="0" w:line="360" w:lineRule="auto"/>
        <w:ind w:firstLine="567"/>
        <w:jc w:val="both"/>
        <w:rPr>
          <w:rFonts w:cstheme="minorHAnsi"/>
        </w:rPr>
      </w:pPr>
      <w:r w:rsidRPr="00755B91">
        <w:rPr>
          <w:rFonts w:eastAsiaTheme="minorHAnsi" w:cstheme="minorHAnsi"/>
          <w:i/>
          <w:iCs/>
        </w:rPr>
        <w:t>δ</w:t>
      </w:r>
      <w:r w:rsidR="00422286" w:rsidRPr="00755B91">
        <w:rPr>
          <w:rFonts w:eastAsiaTheme="minorHAnsi" w:cstheme="minorHAnsi"/>
          <w:i/>
          <w:iCs/>
        </w:rPr>
        <w:t xml:space="preserve"> </w:t>
      </w:r>
      <w:r w:rsidR="00646B81" w:rsidRPr="00755B91">
        <w:rPr>
          <w:rFonts w:cstheme="minorHAnsi"/>
        </w:rPr>
        <w:t>= ponderación asignada al Input</w:t>
      </w:r>
    </w:p>
    <w:p w14:paraId="41ADE157" w14:textId="77777777" w:rsidR="005A47F4" w:rsidRPr="00755B91" w:rsidRDefault="00D94998" w:rsidP="00660B15">
      <w:pPr>
        <w:autoSpaceDE w:val="0"/>
        <w:autoSpaceDN w:val="0"/>
        <w:adjustRightInd w:val="0"/>
        <w:spacing w:after="0" w:line="360" w:lineRule="auto"/>
        <w:ind w:firstLine="567"/>
        <w:jc w:val="both"/>
        <w:rPr>
          <w:rFonts w:cstheme="minorHAnsi"/>
        </w:rPr>
      </w:pPr>
      <w:r w:rsidRPr="00755B91">
        <w:rPr>
          <w:rFonts w:cstheme="minorHAnsi"/>
        </w:rPr>
        <w:t>Supuestos</w:t>
      </w:r>
      <w:r w:rsidR="00D63B6E" w:rsidRPr="00755B91">
        <w:rPr>
          <w:rFonts w:cstheme="minorHAnsi"/>
        </w:rPr>
        <w:t xml:space="preserve"> de la metodología DEA</w:t>
      </w:r>
      <w:r w:rsidRPr="00755B91">
        <w:rPr>
          <w:rFonts w:cstheme="minorHAnsi"/>
        </w:rPr>
        <w:t xml:space="preserve">: </w:t>
      </w:r>
    </w:p>
    <w:p w14:paraId="46AA8C70" w14:textId="77777777" w:rsidR="005A47F4" w:rsidRPr="00755B91" w:rsidRDefault="00D94998" w:rsidP="00660B15">
      <w:pPr>
        <w:autoSpaceDE w:val="0"/>
        <w:autoSpaceDN w:val="0"/>
        <w:adjustRightInd w:val="0"/>
        <w:spacing w:after="0" w:line="360" w:lineRule="auto"/>
        <w:ind w:firstLine="567"/>
        <w:jc w:val="both"/>
        <w:rPr>
          <w:rFonts w:cstheme="minorHAnsi"/>
        </w:rPr>
      </w:pPr>
      <w:r w:rsidRPr="00755B91">
        <w:rPr>
          <w:rFonts w:cstheme="minorHAnsi"/>
          <w:i/>
        </w:rPr>
        <w:t>Free</w:t>
      </w:r>
      <w:r w:rsidR="00004615" w:rsidRPr="00755B91">
        <w:rPr>
          <w:rFonts w:cstheme="minorHAnsi"/>
          <w:i/>
        </w:rPr>
        <w:t xml:space="preserve"> </w:t>
      </w:r>
      <w:r w:rsidR="005A47F4" w:rsidRPr="00755B91">
        <w:rPr>
          <w:rFonts w:cstheme="minorHAnsi"/>
          <w:i/>
        </w:rPr>
        <w:t>-</w:t>
      </w:r>
      <w:r w:rsidRPr="00755B91">
        <w:rPr>
          <w:rFonts w:cstheme="minorHAnsi"/>
          <w:i/>
        </w:rPr>
        <w:t xml:space="preserve"> </w:t>
      </w:r>
      <w:proofErr w:type="spellStart"/>
      <w:r w:rsidR="005A47F4" w:rsidRPr="00755B91">
        <w:rPr>
          <w:rFonts w:cstheme="minorHAnsi"/>
          <w:i/>
        </w:rPr>
        <w:t>d</w:t>
      </w:r>
      <w:r w:rsidRPr="00755B91">
        <w:rPr>
          <w:rFonts w:cstheme="minorHAnsi"/>
          <w:i/>
        </w:rPr>
        <w:t>isposability</w:t>
      </w:r>
      <w:proofErr w:type="spellEnd"/>
      <w:r w:rsidR="005A47F4" w:rsidRPr="00755B91">
        <w:rPr>
          <w:rFonts w:cstheme="minorHAnsi"/>
          <w:b/>
        </w:rPr>
        <w:t>:</w:t>
      </w:r>
      <w:r w:rsidR="007A7841" w:rsidRPr="00755B91">
        <w:rPr>
          <w:rFonts w:cstheme="minorHAnsi"/>
        </w:rPr>
        <w:t xml:space="preserve"> </w:t>
      </w:r>
      <w:r w:rsidR="005A47F4" w:rsidRPr="00755B91">
        <w:rPr>
          <w:rFonts w:cstheme="minorHAnsi"/>
        </w:rPr>
        <w:t xml:space="preserve">si es factible una combinación </w:t>
      </w:r>
      <w:r w:rsidR="00A83B58" w:rsidRPr="00755B91">
        <w:rPr>
          <w:rFonts w:cstheme="minorHAnsi"/>
        </w:rPr>
        <w:t>I</w:t>
      </w:r>
      <w:r w:rsidR="005A47F4" w:rsidRPr="00755B91">
        <w:rPr>
          <w:rFonts w:cstheme="minorHAnsi"/>
        </w:rPr>
        <w:t>nput-</w:t>
      </w:r>
      <w:r w:rsidR="00A83B58" w:rsidRPr="00755B91">
        <w:rPr>
          <w:rFonts w:cstheme="minorHAnsi"/>
        </w:rPr>
        <w:t>O</w:t>
      </w:r>
      <w:r w:rsidR="005A47F4" w:rsidRPr="00755B91">
        <w:rPr>
          <w:rFonts w:cstheme="minorHAnsi"/>
        </w:rPr>
        <w:t xml:space="preserve">utput, entonces también es factible una combinación que utilice más </w:t>
      </w:r>
      <w:r w:rsidR="006A78D8" w:rsidRPr="00755B91">
        <w:rPr>
          <w:rFonts w:cstheme="minorHAnsi"/>
        </w:rPr>
        <w:t>I</w:t>
      </w:r>
      <w:r w:rsidR="005A47F4" w:rsidRPr="00755B91">
        <w:rPr>
          <w:rFonts w:cstheme="minorHAnsi"/>
        </w:rPr>
        <w:t xml:space="preserve">nput con el mismo </w:t>
      </w:r>
      <w:r w:rsidR="006A78D8" w:rsidRPr="00755B91">
        <w:rPr>
          <w:rFonts w:cstheme="minorHAnsi"/>
        </w:rPr>
        <w:t>O</w:t>
      </w:r>
      <w:r w:rsidR="005A47F4" w:rsidRPr="00755B91">
        <w:rPr>
          <w:rFonts w:cstheme="minorHAnsi"/>
        </w:rPr>
        <w:t xml:space="preserve">utput o menos </w:t>
      </w:r>
      <w:r w:rsidR="006A78D8" w:rsidRPr="00755B91">
        <w:rPr>
          <w:rFonts w:cstheme="minorHAnsi"/>
        </w:rPr>
        <w:t>O</w:t>
      </w:r>
      <w:r w:rsidR="005A47F4" w:rsidRPr="00755B91">
        <w:rPr>
          <w:rFonts w:cstheme="minorHAnsi"/>
        </w:rPr>
        <w:t xml:space="preserve">utput con el mismo </w:t>
      </w:r>
      <w:r w:rsidR="006A78D8" w:rsidRPr="00755B91">
        <w:rPr>
          <w:rFonts w:cstheme="minorHAnsi"/>
        </w:rPr>
        <w:t>I</w:t>
      </w:r>
      <w:r w:rsidR="005A47F4" w:rsidRPr="00755B91">
        <w:rPr>
          <w:rFonts w:cstheme="minorHAnsi"/>
        </w:rPr>
        <w:t>nput</w:t>
      </w:r>
      <w:r w:rsidR="008E49F6" w:rsidRPr="00755B91">
        <w:rPr>
          <w:rFonts w:cstheme="minorHAnsi"/>
        </w:rPr>
        <w:t>.</w:t>
      </w:r>
    </w:p>
    <w:p w14:paraId="17DA899E" w14:textId="77777777" w:rsidR="00D94998" w:rsidRPr="00755B91" w:rsidRDefault="00D94998" w:rsidP="00660B15">
      <w:pPr>
        <w:autoSpaceDE w:val="0"/>
        <w:autoSpaceDN w:val="0"/>
        <w:adjustRightInd w:val="0"/>
        <w:spacing w:after="0" w:line="360" w:lineRule="auto"/>
        <w:ind w:firstLine="567"/>
        <w:jc w:val="both"/>
        <w:rPr>
          <w:rFonts w:cstheme="minorHAnsi"/>
        </w:rPr>
      </w:pPr>
      <w:r w:rsidRPr="00755B91">
        <w:rPr>
          <w:rFonts w:cstheme="minorHAnsi"/>
          <w:i/>
        </w:rPr>
        <w:t>Convexidad</w:t>
      </w:r>
      <w:r w:rsidR="00EB5294" w:rsidRPr="00755B91">
        <w:rPr>
          <w:rFonts w:cstheme="minorHAnsi"/>
          <w:i/>
        </w:rPr>
        <w:t>:</w:t>
      </w:r>
      <w:r w:rsidR="00EB5294" w:rsidRPr="00755B91">
        <w:rPr>
          <w:rFonts w:cstheme="minorHAnsi"/>
        </w:rPr>
        <w:t xml:space="preserve"> </w:t>
      </w:r>
      <w:r w:rsidR="00990DF5" w:rsidRPr="00755B91">
        <w:rPr>
          <w:rFonts w:cstheme="minorHAnsi"/>
        </w:rPr>
        <w:t xml:space="preserve">implica que </w:t>
      </w:r>
      <w:r w:rsidR="006A383A" w:rsidRPr="00755B91">
        <w:rPr>
          <w:rFonts w:cstheme="minorHAnsi"/>
        </w:rPr>
        <w:t>es factible cualquier combinación lineal de dos unidades que pertenecen a la frontera productiva</w:t>
      </w:r>
      <w:r w:rsidR="00505FCD" w:rsidRPr="00755B91">
        <w:rPr>
          <w:rFonts w:cstheme="minorHAnsi"/>
        </w:rPr>
        <w:t>, de modo que los factores productivos son perfectamente sustituibles.</w:t>
      </w:r>
    </w:p>
    <w:p w14:paraId="35DE3F93" w14:textId="77777777" w:rsidR="00004615" w:rsidRPr="00755B91" w:rsidRDefault="00004615" w:rsidP="00660B15">
      <w:pPr>
        <w:pStyle w:val="Prrafodelista"/>
        <w:spacing w:after="0" w:line="360" w:lineRule="auto"/>
        <w:ind w:left="0" w:firstLine="567"/>
        <w:jc w:val="both"/>
        <w:rPr>
          <w:rFonts w:cstheme="minorHAnsi"/>
          <w:b/>
        </w:rPr>
      </w:pPr>
    </w:p>
    <w:p w14:paraId="58887567" w14:textId="77777777" w:rsidR="00B20C46" w:rsidRPr="00755B91" w:rsidRDefault="00B20C46" w:rsidP="00660B15">
      <w:pPr>
        <w:pStyle w:val="Prrafodelista"/>
        <w:spacing w:after="0" w:line="360" w:lineRule="auto"/>
        <w:ind w:left="0" w:firstLine="567"/>
        <w:jc w:val="both"/>
        <w:rPr>
          <w:rFonts w:cstheme="minorHAnsi"/>
          <w:b/>
        </w:rPr>
      </w:pPr>
    </w:p>
    <w:p w14:paraId="2A39C7B1" w14:textId="6214F1AD" w:rsidR="00884AF2" w:rsidRPr="00755B91" w:rsidRDefault="00884AF2" w:rsidP="00660B15">
      <w:pPr>
        <w:pStyle w:val="Prrafodelista"/>
        <w:spacing w:after="0" w:line="360" w:lineRule="auto"/>
        <w:ind w:left="0" w:firstLine="284"/>
        <w:jc w:val="both"/>
        <w:rPr>
          <w:rFonts w:cstheme="minorHAnsi"/>
          <w:b/>
        </w:rPr>
      </w:pPr>
      <w:r w:rsidRPr="00755B91">
        <w:rPr>
          <w:rFonts w:cstheme="minorHAnsi"/>
          <w:b/>
        </w:rPr>
        <w:t>Venta</w:t>
      </w:r>
      <w:r w:rsidR="00C751B9" w:rsidRPr="00755B91">
        <w:rPr>
          <w:rFonts w:cstheme="minorHAnsi"/>
          <w:b/>
        </w:rPr>
        <w:t>ja</w:t>
      </w:r>
      <w:r w:rsidRPr="00755B91">
        <w:rPr>
          <w:rFonts w:cstheme="minorHAnsi"/>
          <w:b/>
        </w:rPr>
        <w:t>s y desventajas de la metodología DEA</w:t>
      </w:r>
    </w:p>
    <w:p w14:paraId="05AE8A40" w14:textId="77777777" w:rsidR="00884AF2" w:rsidRPr="00660B15" w:rsidRDefault="00884AF2" w:rsidP="00660B15">
      <w:pPr>
        <w:spacing w:after="0" w:line="360" w:lineRule="auto"/>
        <w:ind w:firstLine="567"/>
        <w:jc w:val="both"/>
        <w:rPr>
          <w:rFonts w:cstheme="minorHAnsi"/>
          <w:iCs/>
          <w:u w:val="single"/>
        </w:rPr>
      </w:pPr>
      <w:r w:rsidRPr="00660B15">
        <w:rPr>
          <w:rFonts w:cstheme="minorHAnsi"/>
          <w:iCs/>
          <w:u w:val="single"/>
        </w:rPr>
        <w:t>Ventajas</w:t>
      </w:r>
      <w:r w:rsidR="00CF4918" w:rsidRPr="00660B15">
        <w:rPr>
          <w:rFonts w:cstheme="minorHAnsi"/>
          <w:iCs/>
          <w:u w:val="single"/>
        </w:rPr>
        <w:t>:</w:t>
      </w:r>
    </w:p>
    <w:p w14:paraId="13FA6E87" w14:textId="77777777" w:rsidR="00884AF2" w:rsidRPr="00755B91" w:rsidRDefault="00884AF2" w:rsidP="00660B15">
      <w:pPr>
        <w:pStyle w:val="Prrafodelista"/>
        <w:numPr>
          <w:ilvl w:val="0"/>
          <w:numId w:val="8"/>
        </w:numPr>
        <w:spacing w:after="0" w:line="360" w:lineRule="auto"/>
        <w:ind w:left="0" w:firstLine="567"/>
        <w:jc w:val="both"/>
        <w:rPr>
          <w:rFonts w:cstheme="minorHAnsi"/>
        </w:rPr>
      </w:pPr>
      <w:r w:rsidRPr="00755B91">
        <w:rPr>
          <w:rFonts w:cstheme="minorHAnsi"/>
        </w:rPr>
        <w:t>No establece supuesto</w:t>
      </w:r>
      <w:r w:rsidR="00B718E9" w:rsidRPr="00755B91">
        <w:rPr>
          <w:rFonts w:cstheme="minorHAnsi"/>
        </w:rPr>
        <w:t xml:space="preserve">s previos sobre la relación de </w:t>
      </w:r>
      <w:r w:rsidR="00B259FE" w:rsidRPr="00755B91">
        <w:rPr>
          <w:rFonts w:cstheme="minorHAnsi"/>
        </w:rPr>
        <w:t>“</w:t>
      </w:r>
      <w:r w:rsidR="00B259FE" w:rsidRPr="00660B15">
        <w:rPr>
          <w:rFonts w:cstheme="minorHAnsi"/>
          <w:i/>
          <w:iCs/>
        </w:rPr>
        <w:t>inputs</w:t>
      </w:r>
      <w:r w:rsidR="00B259FE" w:rsidRPr="00755B91">
        <w:rPr>
          <w:rFonts w:cstheme="minorHAnsi"/>
        </w:rPr>
        <w:t>”</w:t>
      </w:r>
      <w:r w:rsidR="00B718E9" w:rsidRPr="00755B91">
        <w:rPr>
          <w:rFonts w:cstheme="minorHAnsi"/>
        </w:rPr>
        <w:t xml:space="preserve"> y </w:t>
      </w:r>
      <w:r w:rsidR="00B259FE" w:rsidRPr="00755B91">
        <w:rPr>
          <w:rFonts w:cstheme="minorHAnsi"/>
        </w:rPr>
        <w:t>“</w:t>
      </w:r>
      <w:r w:rsidR="00B259FE" w:rsidRPr="00660B15">
        <w:rPr>
          <w:rFonts w:cstheme="minorHAnsi"/>
          <w:i/>
          <w:iCs/>
        </w:rPr>
        <w:t>outputs</w:t>
      </w:r>
      <w:r w:rsidR="00B259FE" w:rsidRPr="00755B91">
        <w:rPr>
          <w:rFonts w:cstheme="minorHAnsi"/>
        </w:rPr>
        <w:t>”</w:t>
      </w:r>
      <w:r w:rsidR="005D5210" w:rsidRPr="00755B91">
        <w:rPr>
          <w:rFonts w:cstheme="minorHAnsi"/>
        </w:rPr>
        <w:t>.</w:t>
      </w:r>
    </w:p>
    <w:p w14:paraId="096EEA24" w14:textId="77777777" w:rsidR="00884AF2" w:rsidRPr="00755B91" w:rsidRDefault="00884AF2" w:rsidP="00660B15">
      <w:pPr>
        <w:pStyle w:val="Prrafodelista"/>
        <w:numPr>
          <w:ilvl w:val="0"/>
          <w:numId w:val="8"/>
        </w:numPr>
        <w:spacing w:after="0" w:line="360" w:lineRule="auto"/>
        <w:ind w:left="0" w:firstLine="567"/>
        <w:jc w:val="both"/>
        <w:rPr>
          <w:rFonts w:cstheme="minorHAnsi"/>
        </w:rPr>
      </w:pPr>
      <w:r w:rsidRPr="00755B91">
        <w:rPr>
          <w:rFonts w:cstheme="minorHAnsi"/>
        </w:rPr>
        <w:t xml:space="preserve">Maneja múltiples </w:t>
      </w:r>
      <w:r w:rsidR="00B259FE" w:rsidRPr="00755B91">
        <w:rPr>
          <w:rFonts w:cstheme="minorHAnsi"/>
        </w:rPr>
        <w:t>“</w:t>
      </w:r>
      <w:r w:rsidR="00B259FE" w:rsidRPr="00660B15">
        <w:rPr>
          <w:rFonts w:cstheme="minorHAnsi"/>
          <w:i/>
          <w:iCs/>
        </w:rPr>
        <w:t>inputs</w:t>
      </w:r>
      <w:r w:rsidR="00B259FE" w:rsidRPr="00755B91">
        <w:rPr>
          <w:rFonts w:cstheme="minorHAnsi"/>
        </w:rPr>
        <w:t>”</w:t>
      </w:r>
      <w:r w:rsidRPr="00755B91">
        <w:rPr>
          <w:rFonts w:cstheme="minorHAnsi"/>
        </w:rPr>
        <w:t xml:space="preserve"> y </w:t>
      </w:r>
      <w:r w:rsidR="00B259FE" w:rsidRPr="00755B91">
        <w:rPr>
          <w:rFonts w:cstheme="minorHAnsi"/>
        </w:rPr>
        <w:t>“</w:t>
      </w:r>
      <w:r w:rsidR="00B259FE" w:rsidRPr="00660B15">
        <w:rPr>
          <w:rFonts w:cstheme="minorHAnsi"/>
          <w:i/>
          <w:iCs/>
        </w:rPr>
        <w:t>outputs</w:t>
      </w:r>
      <w:r w:rsidR="00B259FE" w:rsidRPr="00755B91">
        <w:rPr>
          <w:rFonts w:cstheme="minorHAnsi"/>
        </w:rPr>
        <w:t>”</w:t>
      </w:r>
      <w:r w:rsidR="005D5210" w:rsidRPr="00755B91">
        <w:rPr>
          <w:rFonts w:cstheme="minorHAnsi"/>
        </w:rPr>
        <w:t>.</w:t>
      </w:r>
    </w:p>
    <w:p w14:paraId="7F192A49" w14:textId="77777777" w:rsidR="00884AF2" w:rsidRPr="00755B91" w:rsidRDefault="00884AF2" w:rsidP="00660B15">
      <w:pPr>
        <w:pStyle w:val="Prrafodelista"/>
        <w:numPr>
          <w:ilvl w:val="0"/>
          <w:numId w:val="8"/>
        </w:numPr>
        <w:spacing w:after="0" w:line="360" w:lineRule="auto"/>
        <w:ind w:left="0" w:firstLine="567"/>
        <w:jc w:val="both"/>
        <w:rPr>
          <w:rFonts w:cstheme="minorHAnsi"/>
        </w:rPr>
      </w:pPr>
      <w:r w:rsidRPr="00755B91">
        <w:rPr>
          <w:rFonts w:cstheme="minorHAnsi"/>
        </w:rPr>
        <w:t>Establece una única medida de eficiencia que es relativa</w:t>
      </w:r>
      <w:r w:rsidR="005D5210" w:rsidRPr="00755B91">
        <w:rPr>
          <w:rFonts w:cstheme="minorHAnsi"/>
        </w:rPr>
        <w:t>.</w:t>
      </w:r>
    </w:p>
    <w:p w14:paraId="0378301A" w14:textId="77777777" w:rsidR="00884AF2" w:rsidRPr="00755B91" w:rsidRDefault="00884AF2" w:rsidP="00660B15">
      <w:pPr>
        <w:pStyle w:val="Prrafodelista"/>
        <w:numPr>
          <w:ilvl w:val="0"/>
          <w:numId w:val="8"/>
        </w:numPr>
        <w:spacing w:after="0" w:line="360" w:lineRule="auto"/>
        <w:ind w:left="0" w:firstLine="567"/>
        <w:jc w:val="both"/>
        <w:rPr>
          <w:rFonts w:cstheme="minorHAnsi"/>
        </w:rPr>
      </w:pPr>
      <w:r w:rsidRPr="00755B91">
        <w:rPr>
          <w:rFonts w:cstheme="minorHAnsi"/>
        </w:rPr>
        <w:lastRenderedPageBreak/>
        <w:t>Permite visualizar las unidades ineficientes que deben mejorar</w:t>
      </w:r>
      <w:r w:rsidR="005D5210" w:rsidRPr="00755B91">
        <w:rPr>
          <w:rFonts w:cstheme="minorHAnsi"/>
        </w:rPr>
        <w:t>.</w:t>
      </w:r>
    </w:p>
    <w:p w14:paraId="34DA1968" w14:textId="77777777" w:rsidR="00884AF2" w:rsidRPr="00755B91" w:rsidRDefault="00884AF2" w:rsidP="00660B15">
      <w:pPr>
        <w:pStyle w:val="Prrafodelista"/>
        <w:numPr>
          <w:ilvl w:val="0"/>
          <w:numId w:val="8"/>
        </w:numPr>
        <w:spacing w:after="0" w:line="360" w:lineRule="auto"/>
        <w:ind w:left="0" w:firstLine="567"/>
        <w:jc w:val="both"/>
        <w:rPr>
          <w:rFonts w:cstheme="minorHAnsi"/>
        </w:rPr>
      </w:pPr>
      <w:r w:rsidRPr="00755B91">
        <w:rPr>
          <w:rFonts w:cstheme="minorHAnsi"/>
        </w:rPr>
        <w:t>Se puede utilizar en sectores donde no existen precios, como el caso de las universidades</w:t>
      </w:r>
      <w:r w:rsidR="005D5210" w:rsidRPr="00755B91">
        <w:rPr>
          <w:rFonts w:cstheme="minorHAnsi"/>
        </w:rPr>
        <w:t>.</w:t>
      </w:r>
    </w:p>
    <w:p w14:paraId="2E0D7AF5" w14:textId="325C9F8B" w:rsidR="00884AF2" w:rsidRPr="00660B15" w:rsidRDefault="00884AF2" w:rsidP="00660B15">
      <w:pPr>
        <w:spacing w:after="0" w:line="360" w:lineRule="auto"/>
        <w:ind w:firstLine="567"/>
        <w:jc w:val="both"/>
        <w:rPr>
          <w:rFonts w:cstheme="minorHAnsi"/>
          <w:iCs/>
          <w:u w:val="single"/>
        </w:rPr>
      </w:pPr>
      <w:r w:rsidRPr="00660B15">
        <w:rPr>
          <w:rFonts w:cstheme="minorHAnsi"/>
          <w:iCs/>
          <w:u w:val="single"/>
        </w:rPr>
        <w:t>Desventajas</w:t>
      </w:r>
      <w:r w:rsidR="00CF4918" w:rsidRPr="00660B15">
        <w:rPr>
          <w:rFonts w:cstheme="minorHAnsi"/>
          <w:iCs/>
          <w:u w:val="single"/>
        </w:rPr>
        <w:t>:</w:t>
      </w:r>
    </w:p>
    <w:p w14:paraId="5632CA1E" w14:textId="77777777" w:rsidR="00884AF2" w:rsidRPr="00755B91" w:rsidRDefault="00884AF2" w:rsidP="00660B15">
      <w:pPr>
        <w:pStyle w:val="Prrafodelista"/>
        <w:numPr>
          <w:ilvl w:val="0"/>
          <w:numId w:val="8"/>
        </w:numPr>
        <w:spacing w:after="0" w:line="360" w:lineRule="auto"/>
        <w:ind w:left="0" w:firstLine="567"/>
        <w:jc w:val="both"/>
        <w:rPr>
          <w:rFonts w:cstheme="minorHAnsi"/>
        </w:rPr>
      </w:pPr>
      <w:r w:rsidRPr="00755B91">
        <w:rPr>
          <w:rFonts w:cstheme="minorHAnsi"/>
        </w:rPr>
        <w:t>Es una aproximación determinista porque toda desviación respecto de la frontera se considera como ineficiencia, sin tener en cuenta factores externos o aleato</w:t>
      </w:r>
      <w:r w:rsidR="006B75B3" w:rsidRPr="00755B91">
        <w:rPr>
          <w:rFonts w:cstheme="minorHAnsi"/>
        </w:rPr>
        <w:t>rios que no se pueden controlar</w:t>
      </w:r>
      <w:r w:rsidR="005D5210" w:rsidRPr="00755B91">
        <w:rPr>
          <w:rFonts w:cstheme="minorHAnsi"/>
        </w:rPr>
        <w:t>.</w:t>
      </w:r>
    </w:p>
    <w:p w14:paraId="7580B4D1" w14:textId="77777777" w:rsidR="00884AF2" w:rsidRPr="00755B91" w:rsidRDefault="00884AF2" w:rsidP="00660B15">
      <w:pPr>
        <w:pStyle w:val="Prrafodelista"/>
        <w:numPr>
          <w:ilvl w:val="0"/>
          <w:numId w:val="8"/>
        </w:numPr>
        <w:spacing w:after="0" w:line="360" w:lineRule="auto"/>
        <w:ind w:left="0" w:firstLine="567"/>
        <w:jc w:val="both"/>
        <w:rPr>
          <w:rFonts w:cstheme="minorHAnsi"/>
        </w:rPr>
      </w:pPr>
      <w:r w:rsidRPr="00755B91">
        <w:rPr>
          <w:rFonts w:cstheme="minorHAnsi"/>
        </w:rPr>
        <w:t>Supone que todas las unidades productivas utilizan la misma tecnología</w:t>
      </w:r>
      <w:r w:rsidR="005D5210" w:rsidRPr="00755B91">
        <w:rPr>
          <w:rFonts w:cstheme="minorHAnsi"/>
        </w:rPr>
        <w:t>.</w:t>
      </w:r>
    </w:p>
    <w:p w14:paraId="65A5A08C" w14:textId="77777777" w:rsidR="00884AF2" w:rsidRPr="00755B91" w:rsidRDefault="00884AF2" w:rsidP="00660B15">
      <w:pPr>
        <w:pStyle w:val="Prrafodelista"/>
        <w:numPr>
          <w:ilvl w:val="0"/>
          <w:numId w:val="8"/>
        </w:numPr>
        <w:spacing w:after="0" w:line="360" w:lineRule="auto"/>
        <w:ind w:left="0" w:firstLine="567"/>
        <w:jc w:val="both"/>
        <w:rPr>
          <w:rFonts w:cstheme="minorHAnsi"/>
        </w:rPr>
      </w:pPr>
      <w:r w:rsidRPr="00755B91">
        <w:rPr>
          <w:rFonts w:cstheme="minorHAnsi"/>
        </w:rPr>
        <w:t>No permite la identificación de unidades con comportamientos atípicos (</w:t>
      </w:r>
      <w:proofErr w:type="spellStart"/>
      <w:r w:rsidRPr="00660B15">
        <w:rPr>
          <w:rFonts w:cstheme="minorHAnsi"/>
          <w:i/>
          <w:iCs/>
        </w:rPr>
        <w:t>outliers</w:t>
      </w:r>
      <w:proofErr w:type="spellEnd"/>
      <w:r w:rsidRPr="00755B91">
        <w:rPr>
          <w:rFonts w:cstheme="minorHAnsi"/>
        </w:rPr>
        <w:t>), de modo que estas unidades se consideran eficientes porque no existen unidades similares para compararse</w:t>
      </w:r>
      <w:r w:rsidR="005D5210" w:rsidRPr="00755B91">
        <w:rPr>
          <w:rFonts w:cstheme="minorHAnsi"/>
        </w:rPr>
        <w:t>.</w:t>
      </w:r>
    </w:p>
    <w:p w14:paraId="21BEEAA6" w14:textId="77777777" w:rsidR="00B20C46" w:rsidRPr="00755B91" w:rsidRDefault="00B20C46" w:rsidP="00660B15">
      <w:pPr>
        <w:autoSpaceDE w:val="0"/>
        <w:autoSpaceDN w:val="0"/>
        <w:adjustRightInd w:val="0"/>
        <w:spacing w:after="0" w:line="360" w:lineRule="auto"/>
        <w:ind w:firstLine="567"/>
        <w:jc w:val="both"/>
        <w:rPr>
          <w:rFonts w:cstheme="minorHAnsi"/>
          <w:b/>
        </w:rPr>
      </w:pPr>
    </w:p>
    <w:p w14:paraId="17CE7758" w14:textId="77777777" w:rsidR="00B20C46" w:rsidRPr="00755B91" w:rsidRDefault="00B20C46" w:rsidP="00660B15">
      <w:pPr>
        <w:autoSpaceDE w:val="0"/>
        <w:autoSpaceDN w:val="0"/>
        <w:adjustRightInd w:val="0"/>
        <w:spacing w:after="0" w:line="360" w:lineRule="auto"/>
        <w:ind w:firstLine="567"/>
        <w:jc w:val="both"/>
        <w:rPr>
          <w:rFonts w:cstheme="minorHAnsi"/>
          <w:b/>
        </w:rPr>
      </w:pPr>
    </w:p>
    <w:p w14:paraId="1E0D06FC" w14:textId="343CB3E7" w:rsidR="00055692" w:rsidRPr="00755B91" w:rsidRDefault="00055692" w:rsidP="00660B15">
      <w:pPr>
        <w:autoSpaceDE w:val="0"/>
        <w:autoSpaceDN w:val="0"/>
        <w:adjustRightInd w:val="0"/>
        <w:spacing w:after="0" w:line="360" w:lineRule="auto"/>
        <w:ind w:firstLine="284"/>
        <w:jc w:val="both"/>
        <w:rPr>
          <w:rFonts w:cstheme="minorHAnsi"/>
          <w:b/>
        </w:rPr>
      </w:pPr>
      <w:r w:rsidRPr="00755B91">
        <w:rPr>
          <w:rFonts w:cstheme="minorHAnsi"/>
          <w:b/>
        </w:rPr>
        <w:t xml:space="preserve">Orientación del modelo </w:t>
      </w:r>
    </w:p>
    <w:p w14:paraId="74D1A924" w14:textId="77777777" w:rsidR="00D7618A" w:rsidRPr="00755B91" w:rsidRDefault="00D7618A" w:rsidP="00660B15">
      <w:pPr>
        <w:autoSpaceDE w:val="0"/>
        <w:autoSpaceDN w:val="0"/>
        <w:adjustRightInd w:val="0"/>
        <w:spacing w:after="0" w:line="360" w:lineRule="auto"/>
        <w:ind w:firstLine="567"/>
        <w:jc w:val="both"/>
        <w:rPr>
          <w:rFonts w:cstheme="minorHAnsi"/>
          <w:b/>
        </w:rPr>
      </w:pPr>
      <w:proofErr w:type="spellStart"/>
      <w:r w:rsidRPr="00755B91">
        <w:rPr>
          <w:rFonts w:cstheme="minorHAnsi"/>
        </w:rPr>
        <w:t>Charnes</w:t>
      </w:r>
      <w:proofErr w:type="spellEnd"/>
      <w:r w:rsidRPr="00755B91">
        <w:rPr>
          <w:rFonts w:cstheme="minorHAnsi"/>
        </w:rPr>
        <w:t>, Cooper y Rhodes (1978) proponen dos orientaciones en el modelo DEA:</w:t>
      </w:r>
    </w:p>
    <w:p w14:paraId="2A52C1BE" w14:textId="77777777" w:rsidR="00AD2464" w:rsidRPr="00755B91" w:rsidRDefault="00AD2464" w:rsidP="00660B15">
      <w:pPr>
        <w:pStyle w:val="Prrafodelista"/>
        <w:numPr>
          <w:ilvl w:val="0"/>
          <w:numId w:val="8"/>
        </w:numPr>
        <w:spacing w:after="0" w:line="360" w:lineRule="auto"/>
        <w:ind w:left="0" w:firstLine="567"/>
        <w:jc w:val="both"/>
        <w:rPr>
          <w:rFonts w:cstheme="minorHAnsi"/>
        </w:rPr>
      </w:pPr>
      <w:r w:rsidRPr="00755B91">
        <w:rPr>
          <w:rFonts w:cstheme="minorHAnsi"/>
        </w:rPr>
        <w:t xml:space="preserve">Orientación al input: dada la cantidad de </w:t>
      </w:r>
      <w:r w:rsidR="00B259FE" w:rsidRPr="00755B91">
        <w:rPr>
          <w:rFonts w:cstheme="minorHAnsi"/>
        </w:rPr>
        <w:t>“outputs”</w:t>
      </w:r>
      <w:r w:rsidRPr="00755B91">
        <w:rPr>
          <w:rFonts w:cstheme="minorHAnsi"/>
        </w:rPr>
        <w:t xml:space="preserve"> producidos, en cuánto debería reducirse la cantidad de </w:t>
      </w:r>
      <w:r w:rsidR="00B259FE" w:rsidRPr="00755B91">
        <w:rPr>
          <w:rFonts w:cstheme="minorHAnsi"/>
        </w:rPr>
        <w:t>“inputs”</w:t>
      </w:r>
      <w:r w:rsidRPr="00755B91">
        <w:rPr>
          <w:rFonts w:cstheme="minorHAnsi"/>
        </w:rPr>
        <w:t xml:space="preserve"> para alcanzar la frontera de producción. Una unidad es ineficiente si puede reducirse cualquier </w:t>
      </w:r>
      <w:r w:rsidR="00F11FD6" w:rsidRPr="00755B91">
        <w:rPr>
          <w:rFonts w:cstheme="minorHAnsi"/>
        </w:rPr>
        <w:t>I</w:t>
      </w:r>
      <w:r w:rsidRPr="00755B91">
        <w:rPr>
          <w:rFonts w:cstheme="minorHAnsi"/>
        </w:rPr>
        <w:t xml:space="preserve">nput sin alterar sus </w:t>
      </w:r>
      <w:r w:rsidR="00B259FE" w:rsidRPr="00755B91">
        <w:rPr>
          <w:rFonts w:cstheme="minorHAnsi"/>
        </w:rPr>
        <w:t>“outputs”</w:t>
      </w:r>
      <w:r w:rsidRPr="00755B91">
        <w:rPr>
          <w:rFonts w:cstheme="minorHAnsi"/>
        </w:rPr>
        <w:t>.</w:t>
      </w:r>
    </w:p>
    <w:p w14:paraId="43DF4CA5" w14:textId="77777777" w:rsidR="000C7520" w:rsidRPr="00755B91" w:rsidRDefault="00AD2464" w:rsidP="00660B15">
      <w:pPr>
        <w:pStyle w:val="Prrafodelista"/>
        <w:numPr>
          <w:ilvl w:val="0"/>
          <w:numId w:val="8"/>
        </w:numPr>
        <w:spacing w:after="0" w:line="360" w:lineRule="auto"/>
        <w:ind w:left="0" w:firstLine="567"/>
        <w:jc w:val="both"/>
        <w:rPr>
          <w:rFonts w:cstheme="minorHAnsi"/>
        </w:rPr>
      </w:pPr>
      <w:r w:rsidRPr="00755B91">
        <w:rPr>
          <w:rFonts w:cstheme="minorHAnsi"/>
        </w:rPr>
        <w:t>Orientación al output: dada la cantidad</w:t>
      </w:r>
      <w:r w:rsidR="00F8181F" w:rsidRPr="00755B91">
        <w:rPr>
          <w:rFonts w:cstheme="minorHAnsi"/>
        </w:rPr>
        <w:t xml:space="preserve"> de </w:t>
      </w:r>
      <w:r w:rsidR="00B259FE" w:rsidRPr="00755B91">
        <w:rPr>
          <w:rFonts w:cstheme="minorHAnsi"/>
        </w:rPr>
        <w:t>“inputs”</w:t>
      </w:r>
      <w:r w:rsidRPr="00755B91">
        <w:rPr>
          <w:rFonts w:cstheme="minorHAnsi"/>
        </w:rPr>
        <w:t xml:space="preserve"> utilizados, en cuanto podría aumentar el </w:t>
      </w:r>
      <w:r w:rsidR="00F8181F" w:rsidRPr="00755B91">
        <w:rPr>
          <w:rFonts w:cstheme="minorHAnsi"/>
        </w:rPr>
        <w:t>O</w:t>
      </w:r>
      <w:r w:rsidRPr="00755B91">
        <w:rPr>
          <w:rFonts w:cstheme="minorHAnsi"/>
        </w:rPr>
        <w:t xml:space="preserve">utput para alcanzar la frontera de producción. Una unidad es ineficiente </w:t>
      </w:r>
      <w:r w:rsidR="0008525A" w:rsidRPr="00755B91">
        <w:rPr>
          <w:rFonts w:cstheme="minorHAnsi"/>
        </w:rPr>
        <w:t xml:space="preserve">cuando puede incrementar su Output con </w:t>
      </w:r>
      <w:r w:rsidR="00E95044" w:rsidRPr="00755B91">
        <w:rPr>
          <w:rFonts w:cstheme="minorHAnsi"/>
        </w:rPr>
        <w:t>la misma cantidad de</w:t>
      </w:r>
      <w:r w:rsidR="0008525A" w:rsidRPr="00755B91">
        <w:rPr>
          <w:rFonts w:cstheme="minorHAnsi"/>
        </w:rPr>
        <w:t xml:space="preserve"> Input</w:t>
      </w:r>
      <w:r w:rsidR="00E95044" w:rsidRPr="00755B91">
        <w:rPr>
          <w:rFonts w:cstheme="minorHAnsi"/>
        </w:rPr>
        <w:t>.</w:t>
      </w:r>
    </w:p>
    <w:p w14:paraId="688C3FBD" w14:textId="77777777" w:rsidR="00E7000D" w:rsidRPr="00755B91" w:rsidRDefault="00E7000D" w:rsidP="00660B15">
      <w:pPr>
        <w:autoSpaceDE w:val="0"/>
        <w:autoSpaceDN w:val="0"/>
        <w:adjustRightInd w:val="0"/>
        <w:spacing w:after="0" w:line="360" w:lineRule="auto"/>
        <w:jc w:val="both"/>
        <w:rPr>
          <w:rFonts w:cstheme="minorHAnsi"/>
          <w:b/>
        </w:rPr>
      </w:pPr>
    </w:p>
    <w:p w14:paraId="677621C8" w14:textId="77777777" w:rsidR="00E41109" w:rsidRPr="00755B91" w:rsidRDefault="00E41109" w:rsidP="00660B15">
      <w:pPr>
        <w:autoSpaceDE w:val="0"/>
        <w:autoSpaceDN w:val="0"/>
        <w:adjustRightInd w:val="0"/>
        <w:spacing w:after="0" w:line="360" w:lineRule="auto"/>
        <w:ind w:firstLine="284"/>
        <w:jc w:val="both"/>
        <w:rPr>
          <w:rFonts w:cstheme="minorHAnsi"/>
          <w:b/>
        </w:rPr>
      </w:pPr>
      <w:r w:rsidRPr="00755B91">
        <w:rPr>
          <w:rFonts w:cstheme="minorHAnsi"/>
          <w:b/>
        </w:rPr>
        <w:t>Índices de eficiencia</w:t>
      </w:r>
    </w:p>
    <w:p w14:paraId="39FAD39E" w14:textId="77777777" w:rsidR="0037302A" w:rsidRPr="00755B91" w:rsidRDefault="00EF3C5E" w:rsidP="00660B15">
      <w:pPr>
        <w:autoSpaceDE w:val="0"/>
        <w:autoSpaceDN w:val="0"/>
        <w:adjustRightInd w:val="0"/>
        <w:spacing w:after="0" w:line="360" w:lineRule="auto"/>
        <w:ind w:firstLine="567"/>
        <w:jc w:val="both"/>
        <w:rPr>
          <w:rFonts w:cstheme="minorHAnsi"/>
        </w:rPr>
      </w:pPr>
      <w:r w:rsidRPr="00755B91">
        <w:rPr>
          <w:rFonts w:cstheme="minorHAnsi"/>
        </w:rPr>
        <w:t>Los índices de</w:t>
      </w:r>
      <w:r w:rsidR="00AB684D" w:rsidRPr="00755B91">
        <w:rPr>
          <w:rFonts w:cstheme="minorHAnsi"/>
        </w:rPr>
        <w:t xml:space="preserve"> eficiencia con orientación al “</w:t>
      </w:r>
      <w:r w:rsidR="00AB684D" w:rsidRPr="00660B15">
        <w:rPr>
          <w:rFonts w:cstheme="minorHAnsi"/>
          <w:i/>
          <w:iCs/>
        </w:rPr>
        <w:t>o</w:t>
      </w:r>
      <w:r w:rsidRPr="00660B15">
        <w:rPr>
          <w:rFonts w:cstheme="minorHAnsi"/>
          <w:i/>
          <w:iCs/>
        </w:rPr>
        <w:t>utput</w:t>
      </w:r>
      <w:r w:rsidR="00AB684D" w:rsidRPr="00755B91">
        <w:rPr>
          <w:rFonts w:cstheme="minorHAnsi"/>
        </w:rPr>
        <w:t>”</w:t>
      </w:r>
      <w:r w:rsidRPr="00755B91">
        <w:rPr>
          <w:rFonts w:cstheme="minorHAnsi"/>
        </w:rPr>
        <w:t xml:space="preserve"> son diferentes a los </w:t>
      </w:r>
      <w:r w:rsidR="00962627" w:rsidRPr="00755B91">
        <w:rPr>
          <w:rFonts w:cstheme="minorHAnsi"/>
        </w:rPr>
        <w:t>í</w:t>
      </w:r>
      <w:r w:rsidRPr="00755B91">
        <w:rPr>
          <w:rFonts w:cstheme="minorHAnsi"/>
        </w:rPr>
        <w:t>ndices de eficiencia con orientación al Input.</w:t>
      </w:r>
      <w:r w:rsidR="001E0373" w:rsidRPr="00755B91">
        <w:rPr>
          <w:rFonts w:cstheme="minorHAnsi"/>
        </w:rPr>
        <w:t xml:space="preserve"> </w:t>
      </w:r>
      <w:r w:rsidR="00D42DA1" w:rsidRPr="00755B91">
        <w:rPr>
          <w:rFonts w:cstheme="minorHAnsi"/>
        </w:rPr>
        <w:t xml:space="preserve">Los índices de eficiencia con orientación al </w:t>
      </w:r>
      <w:r w:rsidR="00AB684D" w:rsidRPr="00755B91">
        <w:rPr>
          <w:rFonts w:cstheme="minorHAnsi"/>
        </w:rPr>
        <w:t>“</w:t>
      </w:r>
      <w:r w:rsidR="00AB684D" w:rsidRPr="00660B15">
        <w:rPr>
          <w:rFonts w:cstheme="minorHAnsi"/>
          <w:i/>
          <w:iCs/>
        </w:rPr>
        <w:t>o</w:t>
      </w:r>
      <w:r w:rsidR="008F305C" w:rsidRPr="00660B15">
        <w:rPr>
          <w:rFonts w:cstheme="minorHAnsi"/>
          <w:i/>
          <w:iCs/>
        </w:rPr>
        <w:t>utput</w:t>
      </w:r>
      <w:r w:rsidR="00AB684D" w:rsidRPr="00755B91">
        <w:rPr>
          <w:rFonts w:cstheme="minorHAnsi"/>
        </w:rPr>
        <w:t>”</w:t>
      </w:r>
      <w:r w:rsidR="00D42DA1" w:rsidRPr="00755B91">
        <w:rPr>
          <w:rFonts w:cstheme="minorHAnsi"/>
        </w:rPr>
        <w:t xml:space="preserve"> son mayores que uno. Por ejemplo, u</w:t>
      </w:r>
      <w:r w:rsidR="00AB684D" w:rsidRPr="00755B91">
        <w:rPr>
          <w:rFonts w:cstheme="minorHAnsi"/>
        </w:rPr>
        <w:t>n índice de 1,20 indica que el “</w:t>
      </w:r>
      <w:r w:rsidR="00AB684D" w:rsidRPr="00660B15">
        <w:rPr>
          <w:rFonts w:cstheme="minorHAnsi"/>
          <w:i/>
          <w:iCs/>
        </w:rPr>
        <w:t>o</w:t>
      </w:r>
      <w:r w:rsidR="00D42DA1" w:rsidRPr="00660B15">
        <w:rPr>
          <w:rFonts w:cstheme="minorHAnsi"/>
          <w:i/>
          <w:iCs/>
        </w:rPr>
        <w:t>utput</w:t>
      </w:r>
      <w:r w:rsidR="00AB684D" w:rsidRPr="00755B91">
        <w:rPr>
          <w:rFonts w:cstheme="minorHAnsi"/>
        </w:rPr>
        <w:t>”</w:t>
      </w:r>
      <w:r w:rsidR="00D42DA1" w:rsidRPr="00755B91">
        <w:rPr>
          <w:rFonts w:cstheme="minorHAnsi"/>
        </w:rPr>
        <w:t xml:space="preserve"> debe aumentarse en un 20% para alcanzar la frontera de </w:t>
      </w:r>
      <w:r w:rsidR="00D5256C" w:rsidRPr="00755B91">
        <w:rPr>
          <w:rFonts w:cstheme="minorHAnsi"/>
        </w:rPr>
        <w:t>eficiencia</w:t>
      </w:r>
      <w:r w:rsidR="00D42DA1" w:rsidRPr="00755B91">
        <w:rPr>
          <w:rFonts w:cstheme="minorHAnsi"/>
        </w:rPr>
        <w:t>.</w:t>
      </w:r>
      <w:r w:rsidR="001E0373" w:rsidRPr="00755B91">
        <w:rPr>
          <w:rFonts w:cstheme="minorHAnsi"/>
        </w:rPr>
        <w:t xml:space="preserve"> </w:t>
      </w:r>
      <w:r w:rsidR="00D42DA1" w:rsidRPr="00755B91">
        <w:rPr>
          <w:rFonts w:cstheme="minorHAnsi"/>
        </w:rPr>
        <w:t>Los índices de eficiencia con orientación al</w:t>
      </w:r>
      <w:r w:rsidR="0091795A" w:rsidRPr="00755B91">
        <w:rPr>
          <w:rFonts w:cstheme="minorHAnsi"/>
        </w:rPr>
        <w:t xml:space="preserve"> “</w:t>
      </w:r>
      <w:r w:rsidR="0091795A" w:rsidRPr="00660B15">
        <w:rPr>
          <w:rFonts w:cstheme="minorHAnsi"/>
          <w:i/>
          <w:iCs/>
        </w:rPr>
        <w:t>i</w:t>
      </w:r>
      <w:r w:rsidR="00D42DA1" w:rsidRPr="00660B15">
        <w:rPr>
          <w:rFonts w:cstheme="minorHAnsi"/>
          <w:i/>
          <w:iCs/>
        </w:rPr>
        <w:t>nput</w:t>
      </w:r>
      <w:r w:rsidR="0091795A" w:rsidRPr="00755B91">
        <w:rPr>
          <w:rFonts w:cstheme="minorHAnsi"/>
        </w:rPr>
        <w:t>”</w:t>
      </w:r>
      <w:r w:rsidR="00D42DA1" w:rsidRPr="00755B91">
        <w:rPr>
          <w:rFonts w:cstheme="minorHAnsi"/>
        </w:rPr>
        <w:t xml:space="preserve"> son menores o iguales que uno, en el sentido que una unidad es eficiente cuando no se pueden reducir sus </w:t>
      </w:r>
      <w:r w:rsidR="0091795A" w:rsidRPr="00755B91">
        <w:rPr>
          <w:rFonts w:cstheme="minorHAnsi"/>
        </w:rPr>
        <w:t>“</w:t>
      </w:r>
      <w:r w:rsidR="00B259FE" w:rsidRPr="00755B91">
        <w:rPr>
          <w:rFonts w:cstheme="minorHAnsi"/>
        </w:rPr>
        <w:t>“</w:t>
      </w:r>
      <w:r w:rsidR="00B259FE" w:rsidRPr="00660B15">
        <w:rPr>
          <w:rFonts w:cstheme="minorHAnsi"/>
          <w:i/>
          <w:iCs/>
        </w:rPr>
        <w:t>inputs</w:t>
      </w:r>
      <w:r w:rsidR="00B259FE" w:rsidRPr="00755B91">
        <w:rPr>
          <w:rFonts w:cstheme="minorHAnsi"/>
        </w:rPr>
        <w:t>”</w:t>
      </w:r>
      <w:r w:rsidR="0091795A" w:rsidRPr="00755B91">
        <w:rPr>
          <w:rFonts w:cstheme="minorHAnsi"/>
        </w:rPr>
        <w:t>”</w:t>
      </w:r>
      <w:r w:rsidR="00D42DA1" w:rsidRPr="00755B91">
        <w:rPr>
          <w:rFonts w:cstheme="minorHAnsi"/>
        </w:rPr>
        <w:t xml:space="preserve">. Si el índice es igual a 0,9 significaría que los </w:t>
      </w:r>
      <w:r w:rsidR="00B259FE" w:rsidRPr="00755B91">
        <w:rPr>
          <w:rFonts w:cstheme="minorHAnsi"/>
        </w:rPr>
        <w:t>“</w:t>
      </w:r>
      <w:r w:rsidR="00B259FE" w:rsidRPr="00660B15">
        <w:rPr>
          <w:rFonts w:cstheme="minorHAnsi"/>
          <w:i/>
          <w:iCs/>
        </w:rPr>
        <w:t>inputs</w:t>
      </w:r>
      <w:r w:rsidR="00B259FE" w:rsidRPr="00755B91">
        <w:rPr>
          <w:rFonts w:cstheme="minorHAnsi"/>
        </w:rPr>
        <w:t>”</w:t>
      </w:r>
      <w:r w:rsidR="00D42DA1" w:rsidRPr="00755B91">
        <w:rPr>
          <w:rFonts w:cstheme="minorHAnsi"/>
        </w:rPr>
        <w:t xml:space="preserve"> se deben reducir en un 10%, </w:t>
      </w:r>
      <w:r w:rsidR="001142FB" w:rsidRPr="00755B91">
        <w:rPr>
          <w:rFonts w:cstheme="minorHAnsi"/>
        </w:rPr>
        <w:t>para alc</w:t>
      </w:r>
      <w:r w:rsidR="00EB4528" w:rsidRPr="00755B91">
        <w:rPr>
          <w:rFonts w:cstheme="minorHAnsi"/>
        </w:rPr>
        <w:t>anzar la frontera de eficiencia.</w:t>
      </w:r>
    </w:p>
    <w:p w14:paraId="556B54C5" w14:textId="77777777" w:rsidR="00B20C46" w:rsidRPr="00755B91" w:rsidRDefault="00B20C46" w:rsidP="00755B91">
      <w:pPr>
        <w:pStyle w:val="Prrafodelista"/>
        <w:spacing w:afterLines="60" w:after="144" w:line="360" w:lineRule="auto"/>
        <w:ind w:left="0"/>
        <w:jc w:val="both"/>
        <w:rPr>
          <w:rFonts w:cstheme="minorHAnsi"/>
          <w:b/>
        </w:rPr>
      </w:pPr>
    </w:p>
    <w:p w14:paraId="669525B2" w14:textId="273C7543" w:rsidR="00937DB7" w:rsidRPr="00755B91" w:rsidRDefault="00937DB7" w:rsidP="00660B15">
      <w:pPr>
        <w:pStyle w:val="Prrafodelista"/>
        <w:spacing w:after="0" w:line="360" w:lineRule="auto"/>
        <w:ind w:left="0" w:firstLine="284"/>
        <w:contextualSpacing w:val="0"/>
        <w:jc w:val="both"/>
        <w:rPr>
          <w:rFonts w:cstheme="minorHAnsi"/>
          <w:b/>
        </w:rPr>
      </w:pPr>
      <w:r w:rsidRPr="00755B91">
        <w:rPr>
          <w:rFonts w:cstheme="minorHAnsi"/>
          <w:b/>
        </w:rPr>
        <w:t>Tipos de rendimientos a escala</w:t>
      </w:r>
    </w:p>
    <w:p w14:paraId="02D3FA94" w14:textId="77777777" w:rsidR="0051268C" w:rsidRPr="00755B91" w:rsidRDefault="007A5084" w:rsidP="00660B15">
      <w:pPr>
        <w:pStyle w:val="Prrafodelista"/>
        <w:spacing w:after="0" w:line="360" w:lineRule="auto"/>
        <w:ind w:left="0" w:firstLine="567"/>
        <w:jc w:val="both"/>
        <w:rPr>
          <w:rFonts w:cstheme="minorHAnsi"/>
        </w:rPr>
      </w:pPr>
      <w:r w:rsidRPr="00755B91">
        <w:rPr>
          <w:rFonts w:cstheme="minorHAnsi"/>
        </w:rPr>
        <w:t xml:space="preserve">Los autores Coll Serrano y Blasco (2006) afirman que </w:t>
      </w:r>
      <w:r w:rsidR="00D01B9E" w:rsidRPr="00755B91">
        <w:rPr>
          <w:rFonts w:cstheme="minorHAnsi"/>
        </w:rPr>
        <w:t>“</w:t>
      </w:r>
      <w:r w:rsidRPr="00755B91">
        <w:rPr>
          <w:rFonts w:cstheme="minorHAnsi"/>
        </w:rPr>
        <w:t>p</w:t>
      </w:r>
      <w:r w:rsidR="0051268C" w:rsidRPr="00755B91">
        <w:rPr>
          <w:rFonts w:cstheme="minorHAnsi"/>
        </w:rPr>
        <w:t xml:space="preserve">ara evaluar la eficiencia de </w:t>
      </w:r>
      <w:r w:rsidR="00D01B9E" w:rsidRPr="00755B91">
        <w:rPr>
          <w:rFonts w:cstheme="minorHAnsi"/>
        </w:rPr>
        <w:t>un conjunto de Unidades es necesario identificar</w:t>
      </w:r>
      <w:r w:rsidR="0051268C" w:rsidRPr="00755B91">
        <w:rPr>
          <w:rFonts w:cstheme="minorHAnsi"/>
        </w:rPr>
        <w:t xml:space="preserve"> la tipolog</w:t>
      </w:r>
      <w:r w:rsidR="00D01B9E" w:rsidRPr="00755B91">
        <w:rPr>
          <w:rFonts w:cstheme="minorHAnsi"/>
        </w:rPr>
        <w:t>ía de los rendimientos a escala que caracteriza la tecnología de producción” (p. 22).</w:t>
      </w:r>
    </w:p>
    <w:p w14:paraId="1940BC3C" w14:textId="77777777" w:rsidR="00EE43F6" w:rsidRPr="00755B91" w:rsidRDefault="00937DB7" w:rsidP="00660B15">
      <w:pPr>
        <w:pStyle w:val="Prrafodelista"/>
        <w:spacing w:after="0" w:line="360" w:lineRule="auto"/>
        <w:ind w:left="0" w:firstLine="567"/>
        <w:jc w:val="both"/>
        <w:rPr>
          <w:rFonts w:cstheme="minorHAnsi"/>
        </w:rPr>
      </w:pPr>
      <w:r w:rsidRPr="00755B91">
        <w:rPr>
          <w:rFonts w:cstheme="minorHAnsi"/>
        </w:rPr>
        <w:t>Los rendimientos a escala indican la variación porcentual del Output</w:t>
      </w:r>
      <w:r w:rsidR="000E4DF8" w:rsidRPr="00755B91">
        <w:rPr>
          <w:rFonts w:cstheme="minorHAnsi"/>
        </w:rPr>
        <w:t xml:space="preserve"> cuando se incrementan porcentualmente los factores de la producción. </w:t>
      </w:r>
      <w:r w:rsidR="00665DD6" w:rsidRPr="00755B91">
        <w:rPr>
          <w:rFonts w:cstheme="minorHAnsi"/>
        </w:rPr>
        <w:t>Los rendimientos a escala son los siguientes:</w:t>
      </w:r>
    </w:p>
    <w:p w14:paraId="638213AD" w14:textId="77777777" w:rsidR="00937DB7" w:rsidRPr="00755B91" w:rsidRDefault="00937DB7" w:rsidP="00660B15">
      <w:pPr>
        <w:pStyle w:val="Prrafodelista"/>
        <w:numPr>
          <w:ilvl w:val="0"/>
          <w:numId w:val="17"/>
        </w:numPr>
        <w:tabs>
          <w:tab w:val="left" w:pos="284"/>
        </w:tabs>
        <w:spacing w:after="0" w:line="360" w:lineRule="auto"/>
        <w:ind w:left="0" w:firstLine="567"/>
        <w:jc w:val="both"/>
        <w:rPr>
          <w:rFonts w:cstheme="minorHAnsi"/>
        </w:rPr>
      </w:pPr>
      <w:r w:rsidRPr="00755B91">
        <w:rPr>
          <w:rFonts w:cstheme="minorHAnsi"/>
        </w:rPr>
        <w:t>Rendimientos constantes a escala: el incremento porcentual del Output es igual al incremento porcentual del Input</w:t>
      </w:r>
    </w:p>
    <w:p w14:paraId="1039C870" w14:textId="77777777" w:rsidR="00937DB7" w:rsidRPr="00755B91" w:rsidRDefault="00937DB7" w:rsidP="00660B15">
      <w:pPr>
        <w:pStyle w:val="Prrafodelista"/>
        <w:numPr>
          <w:ilvl w:val="0"/>
          <w:numId w:val="17"/>
        </w:numPr>
        <w:tabs>
          <w:tab w:val="left" w:pos="284"/>
        </w:tabs>
        <w:spacing w:after="0" w:line="360" w:lineRule="auto"/>
        <w:ind w:left="0" w:firstLine="567"/>
        <w:jc w:val="both"/>
        <w:rPr>
          <w:rFonts w:cstheme="minorHAnsi"/>
        </w:rPr>
      </w:pPr>
      <w:r w:rsidRPr="00755B91">
        <w:rPr>
          <w:rFonts w:cstheme="minorHAnsi"/>
        </w:rPr>
        <w:lastRenderedPageBreak/>
        <w:t xml:space="preserve">Rendimientos crecientes a escala: el incremento porcentual del </w:t>
      </w:r>
      <w:r w:rsidR="006877F9" w:rsidRPr="00755B91">
        <w:rPr>
          <w:rFonts w:cstheme="minorHAnsi"/>
        </w:rPr>
        <w:t>O</w:t>
      </w:r>
      <w:r w:rsidRPr="00755B91">
        <w:rPr>
          <w:rFonts w:cstheme="minorHAnsi"/>
        </w:rPr>
        <w:t xml:space="preserve">utput es mayor que incremento porcentual del </w:t>
      </w:r>
      <w:r w:rsidR="006877F9" w:rsidRPr="00755B91">
        <w:rPr>
          <w:rFonts w:cstheme="minorHAnsi"/>
        </w:rPr>
        <w:t>I</w:t>
      </w:r>
      <w:r w:rsidRPr="00755B91">
        <w:rPr>
          <w:rFonts w:cstheme="minorHAnsi"/>
        </w:rPr>
        <w:t>nput</w:t>
      </w:r>
    </w:p>
    <w:p w14:paraId="13CB3C71" w14:textId="77777777" w:rsidR="00F0448D" w:rsidRPr="00755B91" w:rsidRDefault="00937DB7" w:rsidP="00660B15">
      <w:pPr>
        <w:pStyle w:val="Prrafodelista"/>
        <w:numPr>
          <w:ilvl w:val="0"/>
          <w:numId w:val="17"/>
        </w:numPr>
        <w:tabs>
          <w:tab w:val="left" w:pos="284"/>
        </w:tabs>
        <w:spacing w:after="0" w:line="360" w:lineRule="auto"/>
        <w:ind w:left="0" w:firstLine="567"/>
        <w:jc w:val="both"/>
        <w:rPr>
          <w:rFonts w:cstheme="minorHAnsi"/>
        </w:rPr>
      </w:pPr>
      <w:r w:rsidRPr="00755B91">
        <w:rPr>
          <w:rFonts w:cstheme="minorHAnsi"/>
        </w:rPr>
        <w:t xml:space="preserve">Rendimientos decrecientes a escala: el incremento porcentual del </w:t>
      </w:r>
      <w:r w:rsidR="0086278E" w:rsidRPr="00755B91">
        <w:rPr>
          <w:rFonts w:cstheme="minorHAnsi"/>
        </w:rPr>
        <w:t>O</w:t>
      </w:r>
      <w:r w:rsidRPr="00755B91">
        <w:rPr>
          <w:rFonts w:cstheme="minorHAnsi"/>
        </w:rPr>
        <w:t xml:space="preserve">utput es menor que el incremento porcentual del </w:t>
      </w:r>
      <w:r w:rsidR="004F469E" w:rsidRPr="00755B91">
        <w:rPr>
          <w:rFonts w:cstheme="minorHAnsi"/>
        </w:rPr>
        <w:t>I</w:t>
      </w:r>
      <w:r w:rsidRPr="00755B91">
        <w:rPr>
          <w:rFonts w:cstheme="minorHAnsi"/>
        </w:rPr>
        <w:t>nput</w:t>
      </w:r>
    </w:p>
    <w:p w14:paraId="387AF86D" w14:textId="77777777" w:rsidR="000E4DF8" w:rsidRPr="00755B91" w:rsidRDefault="000E4DF8" w:rsidP="00660B15">
      <w:pPr>
        <w:pStyle w:val="Prrafodelista"/>
        <w:spacing w:after="0" w:line="360" w:lineRule="auto"/>
        <w:ind w:left="0" w:firstLine="567"/>
        <w:jc w:val="both"/>
        <w:rPr>
          <w:rFonts w:cstheme="minorHAnsi"/>
        </w:rPr>
      </w:pPr>
      <w:r w:rsidRPr="00755B91">
        <w:rPr>
          <w:rFonts w:cstheme="minorHAnsi"/>
        </w:rPr>
        <w:t xml:space="preserve">La metodología DEA puede realizarse a través del modelo DEA-CCR, que considera rendimientos </w:t>
      </w:r>
      <w:r w:rsidR="007F78B4" w:rsidRPr="00755B91">
        <w:rPr>
          <w:rFonts w:cstheme="minorHAnsi"/>
        </w:rPr>
        <w:t>constante</w:t>
      </w:r>
      <w:r w:rsidR="0051268C" w:rsidRPr="00755B91">
        <w:rPr>
          <w:rFonts w:cstheme="minorHAnsi"/>
        </w:rPr>
        <w:t>s</w:t>
      </w:r>
      <w:r w:rsidR="007F78B4" w:rsidRPr="00755B91">
        <w:rPr>
          <w:rFonts w:cstheme="minorHAnsi"/>
        </w:rPr>
        <w:t xml:space="preserve"> </w:t>
      </w:r>
      <w:r w:rsidRPr="00755B91">
        <w:rPr>
          <w:rFonts w:cstheme="minorHAnsi"/>
        </w:rPr>
        <w:t>a escala</w:t>
      </w:r>
      <w:r w:rsidR="007F78B4" w:rsidRPr="00755B91">
        <w:rPr>
          <w:rFonts w:cstheme="minorHAnsi"/>
        </w:rPr>
        <w:t>,</w:t>
      </w:r>
      <w:r w:rsidRPr="00755B91">
        <w:rPr>
          <w:rFonts w:cstheme="minorHAnsi"/>
        </w:rPr>
        <w:t xml:space="preserve"> </w:t>
      </w:r>
      <w:r w:rsidR="007F78B4" w:rsidRPr="00755B91">
        <w:rPr>
          <w:rFonts w:cstheme="minorHAnsi"/>
        </w:rPr>
        <w:t xml:space="preserve">o bien con la utilización del modelo DEA-BCC, de </w:t>
      </w:r>
      <w:proofErr w:type="spellStart"/>
      <w:r w:rsidR="007F78B4" w:rsidRPr="00755B91">
        <w:rPr>
          <w:rFonts w:cstheme="minorHAnsi"/>
        </w:rPr>
        <w:t>Banker</w:t>
      </w:r>
      <w:proofErr w:type="spellEnd"/>
      <w:r w:rsidR="007F78B4" w:rsidRPr="00755B91">
        <w:rPr>
          <w:rFonts w:cstheme="minorHAnsi"/>
        </w:rPr>
        <w:t xml:space="preserve">, </w:t>
      </w:r>
      <w:proofErr w:type="spellStart"/>
      <w:r w:rsidR="007F78B4" w:rsidRPr="00755B91">
        <w:rPr>
          <w:rFonts w:cstheme="minorHAnsi"/>
        </w:rPr>
        <w:t>Charnes</w:t>
      </w:r>
      <w:proofErr w:type="spellEnd"/>
      <w:r w:rsidR="007F78B4" w:rsidRPr="00755B91">
        <w:rPr>
          <w:rFonts w:cstheme="minorHAnsi"/>
        </w:rPr>
        <w:t xml:space="preserve"> y Cooper</w:t>
      </w:r>
      <w:r w:rsidR="002E5606" w:rsidRPr="00755B91">
        <w:rPr>
          <w:rFonts w:cstheme="minorHAnsi"/>
        </w:rPr>
        <w:t xml:space="preserve"> (</w:t>
      </w:r>
      <w:r w:rsidR="008A7044" w:rsidRPr="00755B91">
        <w:rPr>
          <w:rFonts w:cstheme="minorHAnsi"/>
        </w:rPr>
        <w:t>1984</w:t>
      </w:r>
      <w:r w:rsidR="002E5606" w:rsidRPr="00755B91">
        <w:rPr>
          <w:rFonts w:cstheme="minorHAnsi"/>
        </w:rPr>
        <w:t>)</w:t>
      </w:r>
      <w:r w:rsidR="007F78B4" w:rsidRPr="00755B91">
        <w:rPr>
          <w:rFonts w:cstheme="minorHAnsi"/>
        </w:rPr>
        <w:t>, que utiliza los rendimientos variables a escala.</w:t>
      </w:r>
    </w:p>
    <w:p w14:paraId="60994231" w14:textId="77777777" w:rsidR="0018577D" w:rsidRPr="00755B91" w:rsidRDefault="0018577D" w:rsidP="00755B91">
      <w:pPr>
        <w:pStyle w:val="Prrafodelista"/>
        <w:spacing w:after="0" w:line="360" w:lineRule="auto"/>
        <w:ind w:left="0"/>
        <w:jc w:val="both"/>
        <w:rPr>
          <w:rFonts w:cstheme="minorHAnsi"/>
        </w:rPr>
      </w:pPr>
    </w:p>
    <w:p w14:paraId="728D2E69" w14:textId="77777777" w:rsidR="003637D8" w:rsidRPr="00755B91" w:rsidRDefault="003637D8" w:rsidP="00755B91">
      <w:pPr>
        <w:spacing w:after="0" w:line="360" w:lineRule="auto"/>
        <w:jc w:val="both"/>
        <w:rPr>
          <w:rFonts w:cstheme="minorHAnsi"/>
          <w:b/>
        </w:rPr>
      </w:pPr>
    </w:p>
    <w:p w14:paraId="2D3A5F77" w14:textId="3C02A867" w:rsidR="00A563B3" w:rsidRPr="00755B91" w:rsidRDefault="00B20C46" w:rsidP="00660B15">
      <w:pPr>
        <w:spacing w:after="0" w:line="360" w:lineRule="auto"/>
        <w:ind w:firstLine="284"/>
        <w:jc w:val="both"/>
        <w:rPr>
          <w:rFonts w:cstheme="minorHAnsi"/>
          <w:b/>
        </w:rPr>
      </w:pPr>
      <w:r w:rsidRPr="00755B91">
        <w:rPr>
          <w:rFonts w:cstheme="minorHAnsi"/>
          <w:b/>
        </w:rPr>
        <w:t>Modelo utilizado en este artículo</w:t>
      </w:r>
    </w:p>
    <w:p w14:paraId="336D32AC" w14:textId="77777777" w:rsidR="005405FD" w:rsidRPr="00755B91" w:rsidRDefault="00A563B3" w:rsidP="00660B15">
      <w:pPr>
        <w:autoSpaceDE w:val="0"/>
        <w:autoSpaceDN w:val="0"/>
        <w:adjustRightInd w:val="0"/>
        <w:spacing w:after="0" w:line="360" w:lineRule="auto"/>
        <w:ind w:firstLine="567"/>
        <w:jc w:val="both"/>
        <w:rPr>
          <w:rFonts w:cstheme="minorHAnsi"/>
        </w:rPr>
      </w:pPr>
      <w:r w:rsidRPr="00755B91">
        <w:rPr>
          <w:rFonts w:cstheme="minorHAnsi"/>
        </w:rPr>
        <w:t xml:space="preserve">El primer supuesto </w:t>
      </w:r>
      <w:r w:rsidR="00E83D6B" w:rsidRPr="00755B91">
        <w:rPr>
          <w:rFonts w:cstheme="minorHAnsi"/>
        </w:rPr>
        <w:t>se relaciona con</w:t>
      </w:r>
      <w:r w:rsidRPr="00755B91">
        <w:rPr>
          <w:rFonts w:cstheme="minorHAnsi"/>
        </w:rPr>
        <w:t xml:space="preserve"> la orientación, </w:t>
      </w:r>
      <w:r w:rsidR="00E83D6B" w:rsidRPr="00755B91">
        <w:rPr>
          <w:rFonts w:cstheme="minorHAnsi"/>
        </w:rPr>
        <w:t xml:space="preserve">es decir </w:t>
      </w:r>
      <w:r w:rsidRPr="00755B91">
        <w:rPr>
          <w:rFonts w:cstheme="minorHAnsi"/>
        </w:rPr>
        <w:t xml:space="preserve">si </w:t>
      </w:r>
      <w:r w:rsidR="00E83D6B" w:rsidRPr="00755B91">
        <w:rPr>
          <w:rFonts w:cstheme="minorHAnsi"/>
        </w:rPr>
        <w:t xml:space="preserve">se va a </w:t>
      </w:r>
      <w:r w:rsidRPr="00755B91">
        <w:rPr>
          <w:rFonts w:cstheme="minorHAnsi"/>
        </w:rPr>
        <w:t>medir la</w:t>
      </w:r>
      <w:r w:rsidR="000C0BBB" w:rsidRPr="00755B91">
        <w:rPr>
          <w:rFonts w:cstheme="minorHAnsi"/>
        </w:rPr>
        <w:t xml:space="preserve"> eficiencia con orientación al “i</w:t>
      </w:r>
      <w:r w:rsidRPr="00755B91">
        <w:rPr>
          <w:rFonts w:cstheme="minorHAnsi"/>
        </w:rPr>
        <w:t>nput</w:t>
      </w:r>
      <w:r w:rsidR="000C0BBB" w:rsidRPr="00755B91">
        <w:rPr>
          <w:rFonts w:cstheme="minorHAnsi"/>
        </w:rPr>
        <w:t>”</w:t>
      </w:r>
      <w:r w:rsidR="00876F72" w:rsidRPr="00755B91">
        <w:rPr>
          <w:rFonts w:cstheme="minorHAnsi"/>
        </w:rPr>
        <w:t xml:space="preserve"> </w:t>
      </w:r>
      <w:r w:rsidR="000C0BBB" w:rsidRPr="00755B91">
        <w:rPr>
          <w:rFonts w:cstheme="minorHAnsi"/>
        </w:rPr>
        <w:t>o al “o</w:t>
      </w:r>
      <w:r w:rsidRPr="00755B91">
        <w:rPr>
          <w:rFonts w:cstheme="minorHAnsi"/>
        </w:rPr>
        <w:t>utput</w:t>
      </w:r>
      <w:r w:rsidR="000C0BBB" w:rsidRPr="00755B91">
        <w:rPr>
          <w:rFonts w:cstheme="minorHAnsi"/>
        </w:rPr>
        <w:t>”</w:t>
      </w:r>
      <w:r w:rsidRPr="00755B91">
        <w:rPr>
          <w:rFonts w:cstheme="minorHAnsi"/>
        </w:rPr>
        <w:t xml:space="preserve">. La orientación depende del modelo que se analiza. </w:t>
      </w:r>
      <w:r w:rsidR="00A75E39" w:rsidRPr="00755B91">
        <w:rPr>
          <w:rFonts w:cstheme="minorHAnsi"/>
        </w:rPr>
        <w:t>Si la or</w:t>
      </w:r>
      <w:r w:rsidR="000C0BBB" w:rsidRPr="00755B91">
        <w:rPr>
          <w:rFonts w:cstheme="minorHAnsi"/>
        </w:rPr>
        <w:t>ganización puede controlar sus “</w:t>
      </w:r>
      <w:r w:rsidR="00B259FE" w:rsidRPr="00755B91">
        <w:rPr>
          <w:rFonts w:cstheme="minorHAnsi"/>
        </w:rPr>
        <w:t>“inputs”</w:t>
      </w:r>
      <w:r w:rsidR="000C0BBB" w:rsidRPr="00755B91">
        <w:rPr>
          <w:rFonts w:cstheme="minorHAnsi"/>
        </w:rPr>
        <w:t>”</w:t>
      </w:r>
      <w:r w:rsidR="00A75E39" w:rsidRPr="00755B91">
        <w:rPr>
          <w:rFonts w:cstheme="minorHAnsi"/>
        </w:rPr>
        <w:t xml:space="preserve"> se </w:t>
      </w:r>
      <w:r w:rsidR="00A75E39" w:rsidRPr="00755B91">
        <w:rPr>
          <w:rFonts w:cstheme="minorHAnsi"/>
          <w:color w:val="000000" w:themeColor="text1"/>
        </w:rPr>
        <w:t>utiliza</w:t>
      </w:r>
      <w:r w:rsidR="000C0BBB" w:rsidRPr="00755B91">
        <w:rPr>
          <w:rFonts w:cstheme="minorHAnsi"/>
        </w:rPr>
        <w:t xml:space="preserve"> un modelo orientado al “i</w:t>
      </w:r>
      <w:r w:rsidR="00A75E39" w:rsidRPr="00755B91">
        <w:rPr>
          <w:rFonts w:cstheme="minorHAnsi"/>
        </w:rPr>
        <w:t>nput</w:t>
      </w:r>
      <w:r w:rsidR="000C0BBB" w:rsidRPr="00755B91">
        <w:rPr>
          <w:rFonts w:cstheme="minorHAnsi"/>
        </w:rPr>
        <w:t>”</w:t>
      </w:r>
      <w:r w:rsidR="00A8175E" w:rsidRPr="00755B91">
        <w:rPr>
          <w:rFonts w:cstheme="minorHAnsi"/>
        </w:rPr>
        <w:t>,</w:t>
      </w:r>
      <w:r w:rsidR="00A75E39" w:rsidRPr="00755B91">
        <w:rPr>
          <w:rFonts w:cstheme="minorHAnsi"/>
        </w:rPr>
        <w:t xml:space="preserve"> mientras que si la or</w:t>
      </w:r>
      <w:r w:rsidR="000C0BBB" w:rsidRPr="00755B91">
        <w:rPr>
          <w:rFonts w:cstheme="minorHAnsi"/>
        </w:rPr>
        <w:t>ganización puede controlar sus “</w:t>
      </w:r>
      <w:r w:rsidR="00B259FE" w:rsidRPr="00755B91">
        <w:rPr>
          <w:rFonts w:cstheme="minorHAnsi"/>
        </w:rPr>
        <w:t>“outputs”</w:t>
      </w:r>
      <w:r w:rsidR="000C0BBB" w:rsidRPr="00755B91">
        <w:rPr>
          <w:rFonts w:cstheme="minorHAnsi"/>
        </w:rPr>
        <w:t>”</w:t>
      </w:r>
      <w:r w:rsidR="00A75E39" w:rsidRPr="00755B91">
        <w:rPr>
          <w:rFonts w:cstheme="minorHAnsi"/>
        </w:rPr>
        <w:t xml:space="preserve"> se </w:t>
      </w:r>
      <w:r w:rsidR="000C0BBB" w:rsidRPr="00755B91">
        <w:rPr>
          <w:rFonts w:cstheme="minorHAnsi"/>
        </w:rPr>
        <w:t>utiliza un modelo orientado al “o</w:t>
      </w:r>
      <w:r w:rsidR="00A75E39" w:rsidRPr="00755B91">
        <w:rPr>
          <w:rFonts w:cstheme="minorHAnsi"/>
        </w:rPr>
        <w:t>utput</w:t>
      </w:r>
      <w:r w:rsidR="000C0BBB" w:rsidRPr="00755B91">
        <w:rPr>
          <w:rFonts w:cstheme="minorHAnsi"/>
        </w:rPr>
        <w:t>”</w:t>
      </w:r>
      <w:r w:rsidR="00A75E39" w:rsidRPr="00755B91">
        <w:rPr>
          <w:rFonts w:cstheme="minorHAnsi"/>
        </w:rPr>
        <w:t xml:space="preserve">. </w:t>
      </w:r>
    </w:p>
    <w:p w14:paraId="7F3DAD2C" w14:textId="59C738F4" w:rsidR="00BA5C0E" w:rsidRPr="00755B91" w:rsidRDefault="00EB5C1B" w:rsidP="00660B15">
      <w:pPr>
        <w:autoSpaceDE w:val="0"/>
        <w:autoSpaceDN w:val="0"/>
        <w:adjustRightInd w:val="0"/>
        <w:spacing w:after="0" w:line="360" w:lineRule="auto"/>
        <w:ind w:firstLine="567"/>
        <w:jc w:val="both"/>
        <w:rPr>
          <w:rFonts w:cstheme="minorHAnsi"/>
        </w:rPr>
      </w:pPr>
      <w:r w:rsidRPr="00755B91">
        <w:rPr>
          <w:rFonts w:cstheme="minorHAnsi"/>
        </w:rPr>
        <w:t>Como e</w:t>
      </w:r>
      <w:r w:rsidR="00BA5C0E" w:rsidRPr="00755B91">
        <w:rPr>
          <w:rFonts w:cstheme="minorHAnsi"/>
        </w:rPr>
        <w:t xml:space="preserve">ste trabajo tiene como propósito evaluar la eficiencia en la partida </w:t>
      </w:r>
      <w:r w:rsidR="0028274C" w:rsidRPr="00755B91">
        <w:rPr>
          <w:rFonts w:cstheme="minorHAnsi"/>
        </w:rPr>
        <w:t>“</w:t>
      </w:r>
      <w:r w:rsidR="00BA5C0E" w:rsidRPr="00755B91">
        <w:rPr>
          <w:rFonts w:cstheme="minorHAnsi"/>
        </w:rPr>
        <w:t>Personal”</w:t>
      </w:r>
      <w:r w:rsidR="000C75DA" w:rsidRPr="00755B91">
        <w:rPr>
          <w:rFonts w:cstheme="minorHAnsi"/>
        </w:rPr>
        <w:t xml:space="preserve"> </w:t>
      </w:r>
      <w:r w:rsidR="00660B15" w:rsidRPr="00755B91">
        <w:rPr>
          <w:rFonts w:cstheme="minorHAnsi"/>
        </w:rPr>
        <w:t>en relación con el</w:t>
      </w:r>
      <w:r w:rsidR="000C75DA" w:rsidRPr="00755B91">
        <w:rPr>
          <w:rFonts w:cstheme="minorHAnsi"/>
        </w:rPr>
        <w:t xml:space="preserve"> resultado “en egresados”</w:t>
      </w:r>
      <w:r w:rsidR="00CE2EA3" w:rsidRPr="00755B91">
        <w:rPr>
          <w:rFonts w:cstheme="minorHAnsi"/>
        </w:rPr>
        <w:t>,</w:t>
      </w:r>
      <w:r w:rsidR="00BA5C0E" w:rsidRPr="00755B91">
        <w:rPr>
          <w:rFonts w:cstheme="minorHAnsi"/>
        </w:rPr>
        <w:t xml:space="preserve"> se </w:t>
      </w:r>
      <w:r w:rsidR="00CC3E3C" w:rsidRPr="00755B91">
        <w:rPr>
          <w:rFonts w:cstheme="minorHAnsi"/>
        </w:rPr>
        <w:t xml:space="preserve">propone </w:t>
      </w:r>
      <w:r w:rsidR="00BA5C0E" w:rsidRPr="00755B91">
        <w:rPr>
          <w:rFonts w:cstheme="minorHAnsi"/>
        </w:rPr>
        <w:t>utiliza</w:t>
      </w:r>
      <w:r w:rsidR="00CC3E3C" w:rsidRPr="00755B91">
        <w:rPr>
          <w:rFonts w:cstheme="minorHAnsi"/>
        </w:rPr>
        <w:t>r</w:t>
      </w:r>
      <w:r w:rsidR="00BA5C0E" w:rsidRPr="00755B91">
        <w:rPr>
          <w:rFonts w:cstheme="minorHAnsi"/>
        </w:rPr>
        <w:t xml:space="preserve"> el siguiente modelo</w:t>
      </w:r>
      <w:r w:rsidR="002F0566" w:rsidRPr="00755B91">
        <w:rPr>
          <w:rFonts w:cstheme="minorHAnsi"/>
        </w:rPr>
        <w:t xml:space="preserve"> que se observa en la Figura </w:t>
      </w:r>
      <w:r w:rsidRPr="00755B91">
        <w:rPr>
          <w:rFonts w:cstheme="minorHAnsi"/>
        </w:rPr>
        <w:t>2</w:t>
      </w:r>
      <w:r w:rsidR="003A39DA" w:rsidRPr="00755B91">
        <w:rPr>
          <w:rFonts w:cstheme="minorHAnsi"/>
        </w:rPr>
        <w:t>.</w:t>
      </w:r>
      <w:r w:rsidR="00BA5C0E" w:rsidRPr="00755B91">
        <w:rPr>
          <w:rFonts w:cstheme="minorHAnsi"/>
        </w:rPr>
        <w:t xml:space="preserve"> </w:t>
      </w:r>
    </w:p>
    <w:tbl>
      <w:tblPr>
        <w:tblStyle w:val="Tablaconcuadrcula"/>
        <w:tblW w:w="9072" w:type="dxa"/>
        <w:tblInd w:w="-5" w:type="dxa"/>
        <w:tblLook w:val="04A0" w:firstRow="1" w:lastRow="0" w:firstColumn="1" w:lastColumn="0" w:noHBand="0" w:noVBand="1"/>
      </w:tblPr>
      <w:tblGrid>
        <w:gridCol w:w="5954"/>
        <w:gridCol w:w="3118"/>
      </w:tblGrid>
      <w:tr w:rsidR="00876805" w:rsidRPr="00755B91" w14:paraId="0FBE4756" w14:textId="77777777" w:rsidTr="000C75DA">
        <w:tc>
          <w:tcPr>
            <w:tcW w:w="5954" w:type="dxa"/>
            <w:shd w:val="clear" w:color="auto" w:fill="00B0F0"/>
          </w:tcPr>
          <w:p w14:paraId="3BE9084B" w14:textId="77777777" w:rsidR="00876805" w:rsidRPr="00660B15" w:rsidRDefault="00B259FE" w:rsidP="00755B91">
            <w:pPr>
              <w:autoSpaceDE w:val="0"/>
              <w:autoSpaceDN w:val="0"/>
              <w:adjustRightInd w:val="0"/>
              <w:spacing w:after="0" w:line="360" w:lineRule="auto"/>
              <w:jc w:val="both"/>
              <w:rPr>
                <w:rFonts w:cstheme="minorHAnsi"/>
                <w:b/>
                <w:sz w:val="20"/>
                <w:szCs w:val="20"/>
              </w:rPr>
            </w:pPr>
            <w:r w:rsidRPr="00660B15">
              <w:rPr>
                <w:rFonts w:cstheme="minorHAnsi"/>
                <w:b/>
                <w:sz w:val="20"/>
                <w:szCs w:val="20"/>
              </w:rPr>
              <w:t>“INPUTS”</w:t>
            </w:r>
          </w:p>
        </w:tc>
        <w:tc>
          <w:tcPr>
            <w:tcW w:w="3118" w:type="dxa"/>
            <w:shd w:val="clear" w:color="auto" w:fill="00B0F0"/>
          </w:tcPr>
          <w:p w14:paraId="75EFE8AE" w14:textId="77777777" w:rsidR="00876805" w:rsidRPr="00660B15" w:rsidRDefault="00B259FE" w:rsidP="00755B91">
            <w:pPr>
              <w:autoSpaceDE w:val="0"/>
              <w:autoSpaceDN w:val="0"/>
              <w:adjustRightInd w:val="0"/>
              <w:spacing w:after="0" w:line="360" w:lineRule="auto"/>
              <w:jc w:val="both"/>
              <w:rPr>
                <w:rFonts w:cstheme="minorHAnsi"/>
                <w:b/>
                <w:sz w:val="20"/>
                <w:szCs w:val="20"/>
              </w:rPr>
            </w:pPr>
            <w:r w:rsidRPr="00660B15">
              <w:rPr>
                <w:rFonts w:cstheme="minorHAnsi"/>
                <w:b/>
                <w:sz w:val="20"/>
                <w:szCs w:val="20"/>
              </w:rPr>
              <w:t>“OUTPUTS”</w:t>
            </w:r>
          </w:p>
        </w:tc>
      </w:tr>
      <w:tr w:rsidR="00876805" w:rsidRPr="00755B91" w14:paraId="786F1BDC" w14:textId="77777777" w:rsidTr="000C75DA">
        <w:tc>
          <w:tcPr>
            <w:tcW w:w="5954" w:type="dxa"/>
          </w:tcPr>
          <w:p w14:paraId="11C365EB" w14:textId="77777777" w:rsidR="008F6F60" w:rsidRPr="00660B15" w:rsidRDefault="00876805" w:rsidP="00755B91">
            <w:pPr>
              <w:pStyle w:val="Prrafodelista"/>
              <w:numPr>
                <w:ilvl w:val="0"/>
                <w:numId w:val="11"/>
              </w:numPr>
              <w:autoSpaceDE w:val="0"/>
              <w:autoSpaceDN w:val="0"/>
              <w:adjustRightInd w:val="0"/>
              <w:spacing w:after="0" w:line="360" w:lineRule="auto"/>
              <w:ind w:left="0" w:firstLine="0"/>
              <w:jc w:val="both"/>
              <w:rPr>
                <w:rFonts w:cstheme="minorHAnsi"/>
                <w:sz w:val="20"/>
                <w:szCs w:val="20"/>
              </w:rPr>
            </w:pPr>
            <w:r w:rsidRPr="00660B15">
              <w:rPr>
                <w:rFonts w:cstheme="minorHAnsi"/>
                <w:sz w:val="20"/>
                <w:szCs w:val="20"/>
              </w:rPr>
              <w:t>MATRÍCULA DE ESTUDIANTES</w:t>
            </w:r>
          </w:p>
          <w:p w14:paraId="10299A47" w14:textId="77777777" w:rsidR="0080312B" w:rsidRPr="00660B15" w:rsidRDefault="0080312B" w:rsidP="00755B91">
            <w:pPr>
              <w:pStyle w:val="Prrafodelista"/>
              <w:numPr>
                <w:ilvl w:val="0"/>
                <w:numId w:val="11"/>
              </w:numPr>
              <w:autoSpaceDE w:val="0"/>
              <w:autoSpaceDN w:val="0"/>
              <w:adjustRightInd w:val="0"/>
              <w:spacing w:after="0" w:line="360" w:lineRule="auto"/>
              <w:ind w:left="0" w:firstLine="0"/>
              <w:jc w:val="both"/>
              <w:rPr>
                <w:rFonts w:cstheme="minorHAnsi"/>
                <w:sz w:val="20"/>
                <w:szCs w:val="20"/>
              </w:rPr>
            </w:pPr>
            <w:r w:rsidRPr="00660B15">
              <w:rPr>
                <w:rFonts w:cstheme="minorHAnsi"/>
                <w:sz w:val="20"/>
                <w:szCs w:val="20"/>
              </w:rPr>
              <w:t>CANTIDAD DE DOCENTES</w:t>
            </w:r>
          </w:p>
          <w:p w14:paraId="27104839" w14:textId="77777777" w:rsidR="00400752" w:rsidRPr="00660B15" w:rsidRDefault="0080312B" w:rsidP="00755B91">
            <w:pPr>
              <w:pStyle w:val="Prrafodelista"/>
              <w:numPr>
                <w:ilvl w:val="0"/>
                <w:numId w:val="11"/>
              </w:numPr>
              <w:autoSpaceDE w:val="0"/>
              <w:autoSpaceDN w:val="0"/>
              <w:adjustRightInd w:val="0"/>
              <w:spacing w:after="0" w:line="360" w:lineRule="auto"/>
              <w:ind w:left="0" w:firstLine="0"/>
              <w:jc w:val="both"/>
              <w:rPr>
                <w:rFonts w:cstheme="minorHAnsi"/>
                <w:sz w:val="20"/>
                <w:szCs w:val="20"/>
              </w:rPr>
            </w:pPr>
            <w:r w:rsidRPr="00660B15">
              <w:rPr>
                <w:rFonts w:cstheme="minorHAnsi"/>
                <w:sz w:val="20"/>
                <w:szCs w:val="20"/>
              </w:rPr>
              <w:t xml:space="preserve">PORCENTAJE DEL </w:t>
            </w:r>
            <w:r w:rsidR="00400752" w:rsidRPr="00660B15">
              <w:rPr>
                <w:rFonts w:cstheme="minorHAnsi"/>
                <w:sz w:val="20"/>
                <w:szCs w:val="20"/>
              </w:rPr>
              <w:t xml:space="preserve">PRESUPUESTO </w:t>
            </w:r>
            <w:r w:rsidRPr="00660B15">
              <w:rPr>
                <w:rFonts w:cstheme="minorHAnsi"/>
                <w:sz w:val="20"/>
                <w:szCs w:val="20"/>
              </w:rPr>
              <w:t>EJECUTADO DE LA PARTIDA</w:t>
            </w:r>
            <w:r w:rsidR="008E1393" w:rsidRPr="00660B15">
              <w:rPr>
                <w:rFonts w:cstheme="minorHAnsi"/>
                <w:sz w:val="20"/>
                <w:szCs w:val="20"/>
              </w:rPr>
              <w:t xml:space="preserve"> “P</w:t>
            </w:r>
            <w:r w:rsidR="00400752" w:rsidRPr="00660B15">
              <w:rPr>
                <w:rFonts w:cstheme="minorHAnsi"/>
                <w:sz w:val="20"/>
                <w:szCs w:val="20"/>
              </w:rPr>
              <w:t>ERSONAL</w:t>
            </w:r>
            <w:r w:rsidR="008E1393" w:rsidRPr="00660B15">
              <w:rPr>
                <w:rFonts w:cstheme="minorHAnsi"/>
                <w:sz w:val="20"/>
                <w:szCs w:val="20"/>
              </w:rPr>
              <w:t>”</w:t>
            </w:r>
          </w:p>
        </w:tc>
        <w:tc>
          <w:tcPr>
            <w:tcW w:w="3118" w:type="dxa"/>
          </w:tcPr>
          <w:p w14:paraId="36AF6F8D" w14:textId="77777777" w:rsidR="00732D29" w:rsidRPr="00660B15" w:rsidRDefault="00876805" w:rsidP="00755B91">
            <w:pPr>
              <w:pStyle w:val="Prrafodelista"/>
              <w:numPr>
                <w:ilvl w:val="0"/>
                <w:numId w:val="11"/>
              </w:numPr>
              <w:autoSpaceDE w:val="0"/>
              <w:autoSpaceDN w:val="0"/>
              <w:adjustRightInd w:val="0"/>
              <w:spacing w:after="0" w:line="360" w:lineRule="auto"/>
              <w:ind w:left="0" w:firstLine="0"/>
              <w:jc w:val="both"/>
              <w:rPr>
                <w:rFonts w:cstheme="minorHAnsi"/>
                <w:sz w:val="20"/>
                <w:szCs w:val="20"/>
              </w:rPr>
            </w:pPr>
            <w:r w:rsidRPr="00660B15">
              <w:rPr>
                <w:rFonts w:cstheme="minorHAnsi"/>
                <w:sz w:val="20"/>
                <w:szCs w:val="20"/>
              </w:rPr>
              <w:t>EGRESADOS</w:t>
            </w:r>
          </w:p>
          <w:p w14:paraId="03573A96" w14:textId="77777777" w:rsidR="004501B2" w:rsidRPr="00660B15" w:rsidRDefault="004501B2" w:rsidP="00755B91">
            <w:pPr>
              <w:autoSpaceDE w:val="0"/>
              <w:autoSpaceDN w:val="0"/>
              <w:adjustRightInd w:val="0"/>
              <w:spacing w:after="0" w:line="360" w:lineRule="auto"/>
              <w:jc w:val="both"/>
              <w:rPr>
                <w:rFonts w:cstheme="minorHAnsi"/>
                <w:sz w:val="20"/>
                <w:szCs w:val="20"/>
              </w:rPr>
            </w:pPr>
          </w:p>
          <w:p w14:paraId="446F2F1C" w14:textId="77777777" w:rsidR="00876805" w:rsidRPr="00660B15" w:rsidRDefault="00876805" w:rsidP="00755B91">
            <w:pPr>
              <w:pStyle w:val="Prrafodelista"/>
              <w:autoSpaceDE w:val="0"/>
              <w:autoSpaceDN w:val="0"/>
              <w:adjustRightInd w:val="0"/>
              <w:spacing w:after="0" w:line="360" w:lineRule="auto"/>
              <w:ind w:left="0"/>
              <w:jc w:val="both"/>
              <w:rPr>
                <w:rFonts w:cstheme="minorHAnsi"/>
                <w:sz w:val="20"/>
                <w:szCs w:val="20"/>
              </w:rPr>
            </w:pPr>
          </w:p>
        </w:tc>
      </w:tr>
    </w:tbl>
    <w:p w14:paraId="598CCD31" w14:textId="79A25D87" w:rsidR="00FB1130" w:rsidRPr="00660B15" w:rsidRDefault="00B20C46" w:rsidP="00660B15">
      <w:pPr>
        <w:autoSpaceDE w:val="0"/>
        <w:autoSpaceDN w:val="0"/>
        <w:adjustRightInd w:val="0"/>
        <w:spacing w:after="0" w:line="240" w:lineRule="auto"/>
        <w:jc w:val="both"/>
        <w:rPr>
          <w:rFonts w:cstheme="minorHAnsi"/>
          <w:bCs/>
          <w:sz w:val="20"/>
          <w:szCs w:val="20"/>
        </w:rPr>
      </w:pPr>
      <w:r w:rsidRPr="00660B15">
        <w:rPr>
          <w:rFonts w:cstheme="minorHAnsi"/>
          <w:bCs/>
          <w:sz w:val="20"/>
          <w:szCs w:val="20"/>
        </w:rPr>
        <w:t>Figura 2: Modelo para evaluación de eficiencia por áreas del conocimiento</w:t>
      </w:r>
      <w:r w:rsidR="00660B15">
        <w:rPr>
          <w:rFonts w:cstheme="minorHAnsi"/>
          <w:bCs/>
          <w:sz w:val="20"/>
          <w:szCs w:val="20"/>
        </w:rPr>
        <w:t xml:space="preserve">. </w:t>
      </w:r>
      <w:r w:rsidRPr="00660B15">
        <w:rPr>
          <w:rFonts w:cstheme="minorHAnsi"/>
          <w:bCs/>
          <w:sz w:val="20"/>
          <w:szCs w:val="20"/>
        </w:rPr>
        <w:t xml:space="preserve"> </w:t>
      </w:r>
      <w:r w:rsidR="00361828" w:rsidRPr="00660B15">
        <w:rPr>
          <w:rFonts w:cstheme="minorHAnsi"/>
          <w:bCs/>
          <w:sz w:val="20"/>
          <w:szCs w:val="20"/>
        </w:rPr>
        <w:t>Fuente: Elaboración propia</w:t>
      </w:r>
    </w:p>
    <w:p w14:paraId="09A8BDD3" w14:textId="77777777" w:rsidR="00F50D87" w:rsidRPr="00755B91" w:rsidRDefault="00F50D87" w:rsidP="00755B91">
      <w:pPr>
        <w:spacing w:after="0" w:line="360" w:lineRule="auto"/>
        <w:jc w:val="both"/>
        <w:rPr>
          <w:rFonts w:cstheme="minorHAnsi"/>
        </w:rPr>
      </w:pPr>
    </w:p>
    <w:p w14:paraId="29870625" w14:textId="7A3C5E23" w:rsidR="00BF574C" w:rsidRPr="002920FE" w:rsidRDefault="008D068E" w:rsidP="002920FE">
      <w:pPr>
        <w:spacing w:after="0" w:line="360" w:lineRule="auto"/>
        <w:ind w:firstLine="567"/>
        <w:jc w:val="both"/>
        <w:rPr>
          <w:rFonts w:cstheme="minorHAnsi"/>
        </w:rPr>
      </w:pPr>
      <w:r w:rsidRPr="002920FE">
        <w:rPr>
          <w:rFonts w:cstheme="minorHAnsi"/>
        </w:rPr>
        <w:t>Como se ha expresado, e</w:t>
      </w:r>
      <w:r w:rsidR="00FB1130" w:rsidRPr="002920FE">
        <w:rPr>
          <w:rFonts w:cstheme="minorHAnsi"/>
        </w:rPr>
        <w:t>n este trabajo se util</w:t>
      </w:r>
      <w:r w:rsidR="00A365D1" w:rsidRPr="002920FE">
        <w:rPr>
          <w:rFonts w:cstheme="minorHAnsi"/>
        </w:rPr>
        <w:t>iza el modelo DEA orientado al “i</w:t>
      </w:r>
      <w:r w:rsidR="00FB1130" w:rsidRPr="002920FE">
        <w:rPr>
          <w:rFonts w:cstheme="minorHAnsi"/>
        </w:rPr>
        <w:t>nput</w:t>
      </w:r>
      <w:r w:rsidR="00A365D1" w:rsidRPr="002920FE">
        <w:rPr>
          <w:rFonts w:cstheme="minorHAnsi"/>
        </w:rPr>
        <w:t>”</w:t>
      </w:r>
      <w:r w:rsidR="00FB1130" w:rsidRPr="002920FE">
        <w:rPr>
          <w:rFonts w:cstheme="minorHAnsi"/>
        </w:rPr>
        <w:t xml:space="preserve"> porque la finalidad es evaluar la </w:t>
      </w:r>
      <w:r w:rsidR="00C24089" w:rsidRPr="002920FE">
        <w:rPr>
          <w:rFonts w:cstheme="minorHAnsi"/>
        </w:rPr>
        <w:t>e</w:t>
      </w:r>
      <w:r w:rsidR="00FB1130" w:rsidRPr="002920FE">
        <w:rPr>
          <w:rFonts w:cstheme="minorHAnsi"/>
        </w:rPr>
        <w:t xml:space="preserve">ficiencia de la inversión </w:t>
      </w:r>
      <w:r w:rsidR="006B2A3A" w:rsidRPr="002920FE">
        <w:rPr>
          <w:rFonts w:cstheme="minorHAnsi"/>
        </w:rPr>
        <w:t>del inciso</w:t>
      </w:r>
      <w:r w:rsidR="00FB1130" w:rsidRPr="002920FE">
        <w:rPr>
          <w:rFonts w:cstheme="minorHAnsi"/>
        </w:rPr>
        <w:t xml:space="preserve"> </w:t>
      </w:r>
      <w:r w:rsidR="00AB681A" w:rsidRPr="002920FE">
        <w:rPr>
          <w:rFonts w:cstheme="minorHAnsi"/>
        </w:rPr>
        <w:t>“</w:t>
      </w:r>
      <w:r w:rsidR="00FB1130" w:rsidRPr="002920FE">
        <w:rPr>
          <w:rFonts w:cstheme="minorHAnsi"/>
        </w:rPr>
        <w:t>Personal”</w:t>
      </w:r>
      <w:r w:rsidR="00297CF0" w:rsidRPr="002920FE">
        <w:rPr>
          <w:rFonts w:cstheme="minorHAnsi"/>
        </w:rPr>
        <w:t>,</w:t>
      </w:r>
      <w:r w:rsidR="00FB1130" w:rsidRPr="002920FE">
        <w:rPr>
          <w:rFonts w:cstheme="minorHAnsi"/>
        </w:rPr>
        <w:t xml:space="preserve"> </w:t>
      </w:r>
      <w:r w:rsidR="00660B15" w:rsidRPr="002920FE">
        <w:rPr>
          <w:rFonts w:cstheme="minorHAnsi"/>
        </w:rPr>
        <w:t>en relación con</w:t>
      </w:r>
      <w:r w:rsidR="00297CF0" w:rsidRPr="002920FE">
        <w:rPr>
          <w:rFonts w:cstheme="minorHAnsi"/>
        </w:rPr>
        <w:t xml:space="preserve"> </w:t>
      </w:r>
      <w:r w:rsidR="004546F7" w:rsidRPr="002920FE">
        <w:rPr>
          <w:rFonts w:cstheme="minorHAnsi"/>
        </w:rPr>
        <w:t>egresados</w:t>
      </w:r>
      <w:r w:rsidR="00297CF0" w:rsidRPr="002920FE">
        <w:rPr>
          <w:rFonts w:cstheme="minorHAnsi"/>
        </w:rPr>
        <w:t xml:space="preserve">, </w:t>
      </w:r>
      <w:r w:rsidR="004546F7" w:rsidRPr="002920FE">
        <w:rPr>
          <w:rFonts w:cstheme="minorHAnsi"/>
        </w:rPr>
        <w:t>del</w:t>
      </w:r>
      <w:r w:rsidR="00FB1130" w:rsidRPr="002920FE">
        <w:rPr>
          <w:rFonts w:cstheme="minorHAnsi"/>
        </w:rPr>
        <w:t xml:space="preserve"> Sistema Universitario Público de Argentina. Cabe señalar la relevancia de l</w:t>
      </w:r>
      <w:r w:rsidR="002D37A3" w:rsidRPr="002920FE">
        <w:rPr>
          <w:rFonts w:cstheme="minorHAnsi"/>
        </w:rPr>
        <w:t>a partida “Personal” como “i</w:t>
      </w:r>
      <w:r w:rsidR="001E0723" w:rsidRPr="002920FE">
        <w:rPr>
          <w:rFonts w:cstheme="minorHAnsi"/>
        </w:rPr>
        <w:t>nput</w:t>
      </w:r>
      <w:r w:rsidR="002D37A3" w:rsidRPr="002920FE">
        <w:rPr>
          <w:rFonts w:cstheme="minorHAnsi"/>
        </w:rPr>
        <w:t>”</w:t>
      </w:r>
      <w:r w:rsidR="00FB1130" w:rsidRPr="002920FE">
        <w:rPr>
          <w:rFonts w:cstheme="minorHAnsi"/>
        </w:rPr>
        <w:t xml:space="preserve"> del modelo expuesto, ya que como se mencionó</w:t>
      </w:r>
      <w:r w:rsidR="00C24089" w:rsidRPr="002920FE">
        <w:rPr>
          <w:rFonts w:cstheme="minorHAnsi"/>
        </w:rPr>
        <w:t>, esta</w:t>
      </w:r>
      <w:r w:rsidR="00FB1130" w:rsidRPr="002920FE">
        <w:rPr>
          <w:rFonts w:cstheme="minorHAnsi"/>
        </w:rPr>
        <w:t xml:space="preserve"> partida</w:t>
      </w:r>
      <w:r w:rsidR="00C24089" w:rsidRPr="002920FE">
        <w:rPr>
          <w:rFonts w:cstheme="minorHAnsi"/>
        </w:rPr>
        <w:t xml:space="preserve"> </w:t>
      </w:r>
      <w:r w:rsidR="001C1F4B" w:rsidRPr="002920FE">
        <w:rPr>
          <w:rFonts w:cstheme="minorHAnsi"/>
        </w:rPr>
        <w:t xml:space="preserve">destinada a salarios de personal docente y no docente </w:t>
      </w:r>
      <w:r w:rsidR="00C24089" w:rsidRPr="002920FE">
        <w:rPr>
          <w:rFonts w:cstheme="minorHAnsi"/>
        </w:rPr>
        <w:t xml:space="preserve">representa </w:t>
      </w:r>
      <w:r w:rsidRPr="002920FE">
        <w:rPr>
          <w:rFonts w:cstheme="minorHAnsi"/>
        </w:rPr>
        <w:t xml:space="preserve">casi </w:t>
      </w:r>
      <w:r w:rsidR="00C24089" w:rsidRPr="002920FE">
        <w:rPr>
          <w:rFonts w:cstheme="minorHAnsi"/>
        </w:rPr>
        <w:t>un</w:t>
      </w:r>
      <w:r w:rsidR="00FB1130" w:rsidRPr="002920FE">
        <w:rPr>
          <w:rFonts w:cstheme="minorHAnsi"/>
        </w:rPr>
        <w:t xml:space="preserve"> 80% del presupuesto de la universidad pública</w:t>
      </w:r>
      <w:r w:rsidR="00C24089" w:rsidRPr="002920FE">
        <w:rPr>
          <w:rFonts w:cstheme="minorHAnsi"/>
        </w:rPr>
        <w:t>.</w:t>
      </w:r>
    </w:p>
    <w:p w14:paraId="3C037FA6" w14:textId="77777777" w:rsidR="00742ECC" w:rsidRPr="002920FE" w:rsidRDefault="00742ECC" w:rsidP="002920FE">
      <w:pPr>
        <w:spacing w:after="0" w:line="360" w:lineRule="auto"/>
        <w:ind w:firstLine="567"/>
        <w:jc w:val="both"/>
        <w:rPr>
          <w:rFonts w:cstheme="minorHAnsi"/>
        </w:rPr>
      </w:pPr>
      <w:r w:rsidRPr="002920FE">
        <w:rPr>
          <w:rFonts w:cstheme="minorHAnsi"/>
        </w:rPr>
        <w:t xml:space="preserve">La matrícula de estudiantes representa el volumen o la cantidad de alumnos de </w:t>
      </w:r>
      <w:r w:rsidR="006011FC" w:rsidRPr="002920FE">
        <w:rPr>
          <w:rFonts w:cstheme="minorHAnsi"/>
        </w:rPr>
        <w:t>cada una de las</w:t>
      </w:r>
      <w:r w:rsidRPr="002920FE">
        <w:rPr>
          <w:rFonts w:cstheme="minorHAnsi"/>
        </w:rPr>
        <w:t xml:space="preserve"> universidades </w:t>
      </w:r>
      <w:r w:rsidR="006011FC" w:rsidRPr="002920FE">
        <w:rPr>
          <w:rFonts w:cstheme="minorHAnsi"/>
        </w:rPr>
        <w:t xml:space="preserve">analizadas </w:t>
      </w:r>
      <w:r w:rsidRPr="002920FE">
        <w:rPr>
          <w:rFonts w:cstheme="minorHAnsi"/>
        </w:rPr>
        <w:t xml:space="preserve">y se </w:t>
      </w:r>
      <w:r w:rsidR="00A96F13" w:rsidRPr="002920FE">
        <w:rPr>
          <w:rFonts w:cstheme="minorHAnsi"/>
        </w:rPr>
        <w:t xml:space="preserve">la </w:t>
      </w:r>
      <w:r w:rsidR="00AB7F11" w:rsidRPr="002920FE">
        <w:rPr>
          <w:rFonts w:cstheme="minorHAnsi"/>
        </w:rPr>
        <w:t>utiliza como variable “i</w:t>
      </w:r>
      <w:r w:rsidRPr="002920FE">
        <w:rPr>
          <w:rFonts w:cstheme="minorHAnsi"/>
        </w:rPr>
        <w:t>nput</w:t>
      </w:r>
      <w:r w:rsidR="00AB7F11" w:rsidRPr="002920FE">
        <w:rPr>
          <w:rFonts w:cstheme="minorHAnsi"/>
        </w:rPr>
        <w:t>”</w:t>
      </w:r>
      <w:r w:rsidRPr="002920FE">
        <w:rPr>
          <w:rFonts w:cstheme="minorHAnsi"/>
        </w:rPr>
        <w:t xml:space="preserve"> porque tiene una relación directa con </w:t>
      </w:r>
      <w:r w:rsidR="00835601" w:rsidRPr="002920FE">
        <w:rPr>
          <w:rFonts w:cstheme="minorHAnsi"/>
        </w:rPr>
        <w:t xml:space="preserve">la partida </w:t>
      </w:r>
      <w:r w:rsidR="006011FC" w:rsidRPr="002920FE">
        <w:rPr>
          <w:rFonts w:cstheme="minorHAnsi"/>
        </w:rPr>
        <w:t>pres</w:t>
      </w:r>
      <w:r w:rsidR="007E7C24" w:rsidRPr="002920FE">
        <w:rPr>
          <w:rFonts w:cstheme="minorHAnsi"/>
        </w:rPr>
        <w:t>u</w:t>
      </w:r>
      <w:r w:rsidR="006011FC" w:rsidRPr="002920FE">
        <w:rPr>
          <w:rFonts w:cstheme="minorHAnsi"/>
        </w:rPr>
        <w:t>puestaria</w:t>
      </w:r>
      <w:r w:rsidR="00835601" w:rsidRPr="002920FE">
        <w:rPr>
          <w:rFonts w:cstheme="minorHAnsi"/>
        </w:rPr>
        <w:t xml:space="preserve"> de</w:t>
      </w:r>
      <w:r w:rsidR="006011FC" w:rsidRPr="002920FE">
        <w:rPr>
          <w:rFonts w:cstheme="minorHAnsi"/>
        </w:rPr>
        <w:t>l inciso</w:t>
      </w:r>
      <w:r w:rsidR="00835601" w:rsidRPr="002920FE">
        <w:rPr>
          <w:rFonts w:cstheme="minorHAnsi"/>
        </w:rPr>
        <w:t xml:space="preserve"> </w:t>
      </w:r>
      <w:r w:rsidR="006011FC" w:rsidRPr="002920FE">
        <w:rPr>
          <w:rFonts w:cstheme="minorHAnsi"/>
        </w:rPr>
        <w:t>“</w:t>
      </w:r>
      <w:r w:rsidRPr="002920FE">
        <w:rPr>
          <w:rFonts w:cstheme="minorHAnsi"/>
        </w:rPr>
        <w:t xml:space="preserve">Personal”. El aumento de la matrícula de estudiantes genera la necesidad de contratar más </w:t>
      </w:r>
      <w:r w:rsidR="00A96F13" w:rsidRPr="002920FE">
        <w:rPr>
          <w:rFonts w:cstheme="minorHAnsi"/>
        </w:rPr>
        <w:t>docentes</w:t>
      </w:r>
      <w:r w:rsidR="00061615" w:rsidRPr="002920FE">
        <w:rPr>
          <w:rFonts w:cstheme="minorHAnsi"/>
        </w:rPr>
        <w:t>,</w:t>
      </w:r>
      <w:r w:rsidR="00A96F13" w:rsidRPr="002920FE">
        <w:rPr>
          <w:rFonts w:cstheme="minorHAnsi"/>
        </w:rPr>
        <w:t xml:space="preserve"> y por ende debiera producir </w:t>
      </w:r>
      <w:r w:rsidRPr="002920FE">
        <w:rPr>
          <w:rFonts w:cstheme="minorHAnsi"/>
        </w:rPr>
        <w:t>un incremento de la partida “Personal”.</w:t>
      </w:r>
    </w:p>
    <w:p w14:paraId="6D44E4B6" w14:textId="77777777" w:rsidR="00742ECC" w:rsidRPr="002920FE" w:rsidRDefault="00742ECC" w:rsidP="002920FE">
      <w:pPr>
        <w:spacing w:after="0" w:line="360" w:lineRule="auto"/>
        <w:ind w:firstLine="567"/>
        <w:jc w:val="both"/>
        <w:rPr>
          <w:rFonts w:cstheme="minorHAnsi"/>
        </w:rPr>
      </w:pPr>
      <w:r w:rsidRPr="002920FE">
        <w:rPr>
          <w:rFonts w:cstheme="minorHAnsi"/>
        </w:rPr>
        <w:t>E</w:t>
      </w:r>
      <w:r w:rsidR="00182608" w:rsidRPr="002920FE">
        <w:rPr>
          <w:rFonts w:cstheme="minorHAnsi"/>
        </w:rPr>
        <w:t>l porcentaje del presupuesto ejecutado de la partida de</w:t>
      </w:r>
      <w:r w:rsidR="00655659" w:rsidRPr="002920FE">
        <w:rPr>
          <w:rFonts w:cstheme="minorHAnsi"/>
        </w:rPr>
        <w:t xml:space="preserve"> “</w:t>
      </w:r>
      <w:r w:rsidRPr="002920FE">
        <w:rPr>
          <w:rFonts w:cstheme="minorHAnsi"/>
        </w:rPr>
        <w:t>Personal”</w:t>
      </w:r>
      <w:r w:rsidR="00AB7F11" w:rsidRPr="002920FE">
        <w:rPr>
          <w:rFonts w:cstheme="minorHAnsi"/>
        </w:rPr>
        <w:t xml:space="preserve"> </w:t>
      </w:r>
      <w:r w:rsidR="00675376" w:rsidRPr="002920FE">
        <w:rPr>
          <w:rFonts w:cstheme="minorHAnsi"/>
        </w:rPr>
        <w:t xml:space="preserve">surge del cociente entre </w:t>
      </w:r>
      <w:r w:rsidR="002C3EE9" w:rsidRPr="002920FE">
        <w:rPr>
          <w:rFonts w:cstheme="minorHAnsi"/>
        </w:rPr>
        <w:t>el</w:t>
      </w:r>
      <w:r w:rsidR="00675376" w:rsidRPr="002920FE">
        <w:rPr>
          <w:rFonts w:cstheme="minorHAnsi"/>
        </w:rPr>
        <w:t xml:space="preserve"> </w:t>
      </w:r>
      <w:r w:rsidR="002C3EE9" w:rsidRPr="002920FE">
        <w:rPr>
          <w:rFonts w:cstheme="minorHAnsi"/>
        </w:rPr>
        <w:t>inciso</w:t>
      </w:r>
      <w:r w:rsidR="00675376" w:rsidRPr="002920FE">
        <w:rPr>
          <w:rFonts w:cstheme="minorHAnsi"/>
        </w:rPr>
        <w:t xml:space="preserve"> “Personal” y </w:t>
      </w:r>
      <w:r w:rsidR="00707CCC" w:rsidRPr="002920FE">
        <w:rPr>
          <w:rFonts w:cstheme="minorHAnsi"/>
        </w:rPr>
        <w:t xml:space="preserve">el total del presupuesto </w:t>
      </w:r>
      <w:r w:rsidR="003E7BCC" w:rsidRPr="002920FE">
        <w:rPr>
          <w:rFonts w:cstheme="minorHAnsi"/>
        </w:rPr>
        <w:t xml:space="preserve">ejecutado </w:t>
      </w:r>
      <w:r w:rsidR="00E20783" w:rsidRPr="002920FE">
        <w:rPr>
          <w:rFonts w:cstheme="minorHAnsi"/>
        </w:rPr>
        <w:t>de</w:t>
      </w:r>
      <w:r w:rsidR="00707CCC" w:rsidRPr="002920FE">
        <w:rPr>
          <w:rFonts w:cstheme="minorHAnsi"/>
        </w:rPr>
        <w:t xml:space="preserve"> </w:t>
      </w:r>
      <w:r w:rsidR="003E7BCC" w:rsidRPr="002920FE">
        <w:rPr>
          <w:rFonts w:cstheme="minorHAnsi"/>
        </w:rPr>
        <w:t>cada una de las universidades</w:t>
      </w:r>
      <w:r w:rsidR="00730CA3" w:rsidRPr="002920FE">
        <w:rPr>
          <w:rFonts w:cstheme="minorHAnsi"/>
        </w:rPr>
        <w:t>;</w:t>
      </w:r>
      <w:r w:rsidR="00781C69" w:rsidRPr="002920FE">
        <w:rPr>
          <w:rFonts w:cstheme="minorHAnsi"/>
        </w:rPr>
        <w:t xml:space="preserve"> por lo tanto, este porcentaje indica la incidencia del presupuesto </w:t>
      </w:r>
      <w:r w:rsidR="004E210E" w:rsidRPr="002920FE">
        <w:rPr>
          <w:rFonts w:cstheme="minorHAnsi"/>
        </w:rPr>
        <w:t>ejecutado</w:t>
      </w:r>
      <w:r w:rsidR="00781C69" w:rsidRPr="002920FE">
        <w:rPr>
          <w:rFonts w:cstheme="minorHAnsi"/>
        </w:rPr>
        <w:t xml:space="preserve"> </w:t>
      </w:r>
      <w:r w:rsidR="004E210E" w:rsidRPr="002920FE">
        <w:rPr>
          <w:rFonts w:cstheme="minorHAnsi"/>
        </w:rPr>
        <w:t>en</w:t>
      </w:r>
      <w:r w:rsidR="00781C69" w:rsidRPr="002920FE">
        <w:rPr>
          <w:rFonts w:cstheme="minorHAnsi"/>
        </w:rPr>
        <w:t xml:space="preserve"> cada una de las </w:t>
      </w:r>
      <w:r w:rsidR="004E210E" w:rsidRPr="002920FE">
        <w:rPr>
          <w:rFonts w:cstheme="minorHAnsi"/>
        </w:rPr>
        <w:t>universidades</w:t>
      </w:r>
      <w:r w:rsidR="00781C69" w:rsidRPr="002920FE">
        <w:rPr>
          <w:rFonts w:cstheme="minorHAnsi"/>
        </w:rPr>
        <w:t xml:space="preserve">. </w:t>
      </w:r>
    </w:p>
    <w:p w14:paraId="0706F90E" w14:textId="77777777" w:rsidR="00A563B3" w:rsidRPr="002920FE" w:rsidRDefault="003749E1" w:rsidP="002920FE">
      <w:pPr>
        <w:spacing w:after="0" w:line="360" w:lineRule="auto"/>
        <w:ind w:firstLine="567"/>
        <w:jc w:val="both"/>
        <w:rPr>
          <w:rFonts w:cstheme="minorHAnsi"/>
          <w:color w:val="0000FF"/>
        </w:rPr>
      </w:pPr>
      <w:r w:rsidRPr="002920FE">
        <w:rPr>
          <w:rFonts w:cstheme="minorHAnsi"/>
        </w:rPr>
        <w:lastRenderedPageBreak/>
        <w:t>El segundo sup</w:t>
      </w:r>
      <w:r w:rsidR="00D3530E" w:rsidRPr="002920FE">
        <w:rPr>
          <w:rFonts w:cstheme="minorHAnsi"/>
        </w:rPr>
        <w:t>u</w:t>
      </w:r>
      <w:r w:rsidRPr="002920FE">
        <w:rPr>
          <w:rFonts w:cstheme="minorHAnsi"/>
        </w:rPr>
        <w:t>esto se relaciona con los tipos de rendimientos. En este trabajo se utiliz</w:t>
      </w:r>
      <w:r w:rsidR="00C97020" w:rsidRPr="002920FE">
        <w:rPr>
          <w:rFonts w:cstheme="minorHAnsi"/>
        </w:rPr>
        <w:t>a</w:t>
      </w:r>
      <w:r w:rsidRPr="002920FE">
        <w:rPr>
          <w:rFonts w:cstheme="minorHAnsi"/>
        </w:rPr>
        <w:t xml:space="preserve"> el modelo DEA-CCR </w:t>
      </w:r>
      <w:r w:rsidR="00151D7D" w:rsidRPr="002920FE">
        <w:rPr>
          <w:rFonts w:cstheme="minorHAnsi"/>
        </w:rPr>
        <w:t>orientado al “i</w:t>
      </w:r>
      <w:r w:rsidR="000B129F" w:rsidRPr="002920FE">
        <w:rPr>
          <w:rFonts w:cstheme="minorHAnsi"/>
        </w:rPr>
        <w:t>nput</w:t>
      </w:r>
      <w:r w:rsidR="00151D7D" w:rsidRPr="002920FE">
        <w:rPr>
          <w:rFonts w:cstheme="minorHAnsi"/>
        </w:rPr>
        <w:t>”</w:t>
      </w:r>
      <w:r w:rsidR="000B129F" w:rsidRPr="002920FE">
        <w:rPr>
          <w:rFonts w:cstheme="minorHAnsi"/>
        </w:rPr>
        <w:t xml:space="preserve"> </w:t>
      </w:r>
      <w:r w:rsidRPr="002920FE">
        <w:rPr>
          <w:rFonts w:cstheme="minorHAnsi"/>
        </w:rPr>
        <w:t>con rendimientos constantes a escala</w:t>
      </w:r>
      <w:r w:rsidR="000B129F" w:rsidRPr="002920FE">
        <w:rPr>
          <w:rFonts w:cstheme="minorHAnsi"/>
        </w:rPr>
        <w:t>.</w:t>
      </w:r>
      <w:r w:rsidR="00FE4FF8" w:rsidRPr="002920FE">
        <w:rPr>
          <w:rFonts w:cstheme="minorHAnsi"/>
        </w:rPr>
        <w:t xml:space="preserve"> </w:t>
      </w:r>
    </w:p>
    <w:p w14:paraId="318D46F5" w14:textId="77777777" w:rsidR="00B417E2" w:rsidRPr="00755B91" w:rsidRDefault="000B129F" w:rsidP="002920FE">
      <w:pPr>
        <w:spacing w:after="0" w:line="360" w:lineRule="auto"/>
        <w:ind w:firstLine="567"/>
        <w:jc w:val="both"/>
        <w:rPr>
          <w:rFonts w:cstheme="minorHAnsi"/>
        </w:rPr>
      </w:pPr>
      <w:r w:rsidRPr="002920FE">
        <w:rPr>
          <w:rFonts w:cstheme="minorHAnsi"/>
        </w:rPr>
        <w:t>La f</w:t>
      </w:r>
      <w:r w:rsidR="0050004E" w:rsidRPr="002920FE">
        <w:rPr>
          <w:rFonts w:cstheme="minorHAnsi"/>
        </w:rPr>
        <w:t>ormulación matemática</w:t>
      </w:r>
      <w:r w:rsidR="00FE4FF8" w:rsidRPr="002920FE">
        <w:rPr>
          <w:rFonts w:cstheme="minorHAnsi"/>
        </w:rPr>
        <w:t xml:space="preserve"> del </w:t>
      </w:r>
      <w:r w:rsidRPr="002920FE">
        <w:rPr>
          <w:rFonts w:cstheme="minorHAnsi"/>
        </w:rPr>
        <w:t>m</w:t>
      </w:r>
      <w:r w:rsidR="00CF4DA1" w:rsidRPr="002920FE">
        <w:rPr>
          <w:rFonts w:cstheme="minorHAnsi"/>
        </w:rPr>
        <w:t xml:space="preserve">odelo orientado al </w:t>
      </w:r>
      <w:r w:rsidR="00151D7D" w:rsidRPr="002920FE">
        <w:rPr>
          <w:rFonts w:cstheme="minorHAnsi"/>
        </w:rPr>
        <w:t>“i</w:t>
      </w:r>
      <w:r w:rsidR="00160380" w:rsidRPr="002920FE">
        <w:rPr>
          <w:rFonts w:cstheme="minorHAnsi"/>
        </w:rPr>
        <w:t>n</w:t>
      </w:r>
      <w:r w:rsidR="00CF4DA1" w:rsidRPr="002920FE">
        <w:rPr>
          <w:rFonts w:cstheme="minorHAnsi"/>
        </w:rPr>
        <w:t>put</w:t>
      </w:r>
      <w:r w:rsidR="00151D7D" w:rsidRPr="002920FE">
        <w:rPr>
          <w:rFonts w:cstheme="minorHAnsi"/>
        </w:rPr>
        <w:t>”</w:t>
      </w:r>
      <w:r w:rsidR="00C31D7C" w:rsidRPr="002920FE">
        <w:rPr>
          <w:rFonts w:cstheme="minorHAnsi"/>
        </w:rPr>
        <w:t xml:space="preserve"> </w:t>
      </w:r>
      <w:r w:rsidR="00FE4FF8" w:rsidRPr="002920FE">
        <w:rPr>
          <w:rFonts w:cstheme="minorHAnsi"/>
        </w:rPr>
        <w:t xml:space="preserve">con rendimientos constante a escala, </w:t>
      </w:r>
      <w:r w:rsidR="00C31D7C" w:rsidRPr="002920FE">
        <w:rPr>
          <w:rFonts w:cstheme="minorHAnsi"/>
        </w:rPr>
        <w:t xml:space="preserve">en </w:t>
      </w:r>
      <w:r w:rsidR="001214EE" w:rsidRPr="002920FE">
        <w:rPr>
          <w:rFonts w:cstheme="minorHAnsi"/>
        </w:rPr>
        <w:t xml:space="preserve">forma </w:t>
      </w:r>
      <w:r w:rsidR="00B417E2" w:rsidRPr="002920FE">
        <w:rPr>
          <w:rFonts w:cstheme="minorHAnsi"/>
        </w:rPr>
        <w:t>multiplicativa</w:t>
      </w:r>
      <w:r w:rsidR="00011337" w:rsidRPr="002920FE">
        <w:rPr>
          <w:rFonts w:cstheme="minorHAnsi"/>
        </w:rPr>
        <w:t>,</w:t>
      </w:r>
      <w:r w:rsidR="00FE4FF8" w:rsidRPr="002920FE">
        <w:rPr>
          <w:rFonts w:cstheme="minorHAnsi"/>
        </w:rPr>
        <w:t xml:space="preserve"> es la siguiente:</w:t>
      </w:r>
    </w:p>
    <w:p w14:paraId="45621F10" w14:textId="77777777" w:rsidR="00CA2C6C" w:rsidRPr="00755B91" w:rsidRDefault="00CA2C6C" w:rsidP="00755B91">
      <w:pPr>
        <w:autoSpaceDE w:val="0"/>
        <w:autoSpaceDN w:val="0"/>
        <w:adjustRightInd w:val="0"/>
        <w:spacing w:after="0" w:line="360" w:lineRule="auto"/>
        <w:jc w:val="both"/>
        <w:rPr>
          <w:rFonts w:cstheme="minorHAnsi"/>
          <w:u w:val="single"/>
        </w:rPr>
      </w:pPr>
      <w:r w:rsidRPr="00755B91">
        <w:rPr>
          <w:rFonts w:cstheme="minorHAnsi"/>
          <w:noProof/>
          <w:lang w:eastAsia="es-AR"/>
        </w:rPr>
        <w:drawing>
          <wp:anchor distT="0" distB="0" distL="114300" distR="114300" simplePos="0" relativeHeight="251658240" behindDoc="0" locked="0" layoutInCell="1" allowOverlap="1" wp14:anchorId="704A3593" wp14:editId="709F5799">
            <wp:simplePos x="0" y="0"/>
            <wp:positionH relativeFrom="margin">
              <wp:align>left</wp:align>
            </wp:positionH>
            <wp:positionV relativeFrom="paragraph">
              <wp:posOffset>0</wp:posOffset>
            </wp:positionV>
            <wp:extent cx="2876550" cy="2143125"/>
            <wp:effectExtent l="0" t="0" r="0" b="9525"/>
            <wp:wrapThrough wrapText="bothSides">
              <wp:wrapPolygon edited="0">
                <wp:start x="0" y="0"/>
                <wp:lineTo x="0" y="21504"/>
                <wp:lineTo x="21457" y="21504"/>
                <wp:lineTo x="21457"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1938" cy="2147367"/>
                    </a:xfrm>
                    <a:prstGeom prst="rect">
                      <a:avLst/>
                    </a:prstGeom>
                    <a:noFill/>
                    <a:ln>
                      <a:noFill/>
                    </a:ln>
                  </pic:spPr>
                </pic:pic>
              </a:graphicData>
            </a:graphic>
            <wp14:sizeRelV relativeFrom="margin">
              <wp14:pctHeight>0</wp14:pctHeight>
            </wp14:sizeRelV>
          </wp:anchor>
        </w:drawing>
      </w:r>
      <w:r w:rsidR="00B417E2" w:rsidRPr="00755B91">
        <w:rPr>
          <w:rFonts w:cstheme="minorHAnsi"/>
        </w:rPr>
        <w:t>donde:</w:t>
      </w:r>
    </w:p>
    <w:p w14:paraId="604E9203" w14:textId="77777777" w:rsidR="00B417E2" w:rsidRPr="00755B91" w:rsidRDefault="00176E1E" w:rsidP="00755B91">
      <w:pPr>
        <w:autoSpaceDE w:val="0"/>
        <w:autoSpaceDN w:val="0"/>
        <w:adjustRightInd w:val="0"/>
        <w:spacing w:after="0" w:line="360" w:lineRule="auto"/>
        <w:jc w:val="both"/>
        <w:rPr>
          <w:rFonts w:cstheme="minorHAnsi"/>
        </w:rPr>
      </w:pPr>
      <w:proofErr w:type="spellStart"/>
      <w:r w:rsidRPr="00755B91">
        <w:rPr>
          <w:rFonts w:eastAsiaTheme="minorHAnsi" w:cstheme="minorHAnsi"/>
          <w:i/>
          <w:iCs/>
        </w:rPr>
        <w:t>yr</w:t>
      </w:r>
      <w:r w:rsidR="00B01E06" w:rsidRPr="00755B91">
        <w:rPr>
          <w:rFonts w:eastAsiaTheme="minorHAnsi" w:cstheme="minorHAnsi"/>
          <w:i/>
          <w:iCs/>
        </w:rPr>
        <w:t>j</w:t>
      </w:r>
      <w:proofErr w:type="spellEnd"/>
      <w:r w:rsidR="00EA5848" w:rsidRPr="00755B91">
        <w:rPr>
          <w:rFonts w:cstheme="minorHAnsi"/>
        </w:rPr>
        <w:t xml:space="preserve"> = cantidad de </w:t>
      </w:r>
      <w:r w:rsidR="00494CC3" w:rsidRPr="00755B91">
        <w:rPr>
          <w:rFonts w:cstheme="minorHAnsi"/>
        </w:rPr>
        <w:t>Output</w:t>
      </w:r>
      <w:r w:rsidR="00EA5848" w:rsidRPr="00755B91">
        <w:rPr>
          <w:rFonts w:cstheme="minorHAnsi"/>
        </w:rPr>
        <w:t xml:space="preserve"> r </w:t>
      </w:r>
      <w:r w:rsidR="00166162" w:rsidRPr="00755B91">
        <w:rPr>
          <w:rFonts w:cstheme="minorHAnsi"/>
        </w:rPr>
        <w:t>producido</w:t>
      </w:r>
      <w:r w:rsidR="00EA5848" w:rsidRPr="00755B91">
        <w:rPr>
          <w:rFonts w:cstheme="minorHAnsi"/>
        </w:rPr>
        <w:t xml:space="preserve"> por la unidad evaluada</w:t>
      </w:r>
    </w:p>
    <w:p w14:paraId="414457D4" w14:textId="77777777" w:rsidR="00EA5848" w:rsidRPr="00755B91" w:rsidRDefault="00176E1E" w:rsidP="00755B91">
      <w:pPr>
        <w:autoSpaceDE w:val="0"/>
        <w:autoSpaceDN w:val="0"/>
        <w:adjustRightInd w:val="0"/>
        <w:spacing w:after="0" w:line="360" w:lineRule="auto"/>
        <w:jc w:val="both"/>
        <w:rPr>
          <w:rFonts w:eastAsiaTheme="minorHAnsi" w:cstheme="minorHAnsi"/>
          <w:iCs/>
        </w:rPr>
      </w:pPr>
      <w:proofErr w:type="spellStart"/>
      <w:r w:rsidRPr="00755B91">
        <w:rPr>
          <w:rFonts w:eastAsiaTheme="minorHAnsi" w:cstheme="minorHAnsi"/>
          <w:i/>
          <w:iCs/>
        </w:rPr>
        <w:t>μr</w:t>
      </w:r>
      <w:proofErr w:type="spellEnd"/>
      <w:r w:rsidR="00876F72" w:rsidRPr="00755B91">
        <w:rPr>
          <w:rFonts w:eastAsiaTheme="minorHAnsi" w:cstheme="minorHAnsi"/>
          <w:i/>
          <w:iCs/>
        </w:rPr>
        <w:t xml:space="preserve"> </w:t>
      </w:r>
      <w:r w:rsidRPr="00755B91">
        <w:rPr>
          <w:rFonts w:eastAsiaTheme="minorHAnsi" w:cstheme="minorHAnsi"/>
          <w:i/>
          <w:iCs/>
        </w:rPr>
        <w:t xml:space="preserve">= </w:t>
      </w:r>
      <w:r w:rsidRPr="00755B91">
        <w:rPr>
          <w:rFonts w:eastAsiaTheme="minorHAnsi" w:cstheme="minorHAnsi"/>
          <w:iCs/>
        </w:rPr>
        <w:t xml:space="preserve">ponderación asignada al </w:t>
      </w:r>
      <w:r w:rsidR="000E0253" w:rsidRPr="00755B91">
        <w:rPr>
          <w:rFonts w:eastAsiaTheme="minorHAnsi" w:cstheme="minorHAnsi"/>
          <w:iCs/>
        </w:rPr>
        <w:t>Output</w:t>
      </w:r>
      <w:r w:rsidRPr="00755B91">
        <w:rPr>
          <w:rFonts w:eastAsiaTheme="minorHAnsi" w:cstheme="minorHAnsi"/>
          <w:iCs/>
        </w:rPr>
        <w:t xml:space="preserve"> r</w:t>
      </w:r>
    </w:p>
    <w:p w14:paraId="75EA3894" w14:textId="77777777" w:rsidR="00BF1921" w:rsidRPr="00755B91" w:rsidRDefault="00E559E7" w:rsidP="00755B91">
      <w:pPr>
        <w:autoSpaceDE w:val="0"/>
        <w:autoSpaceDN w:val="0"/>
        <w:adjustRightInd w:val="0"/>
        <w:spacing w:after="0" w:line="360" w:lineRule="auto"/>
        <w:jc w:val="both"/>
        <w:rPr>
          <w:rFonts w:cstheme="minorHAnsi"/>
        </w:rPr>
      </w:pPr>
      <w:proofErr w:type="spellStart"/>
      <w:r w:rsidRPr="00755B91">
        <w:rPr>
          <w:rFonts w:eastAsiaTheme="minorHAnsi" w:cstheme="minorHAnsi"/>
          <w:i/>
          <w:iCs/>
        </w:rPr>
        <w:t>xij</w:t>
      </w:r>
      <w:proofErr w:type="spellEnd"/>
      <w:r w:rsidR="00BF1921" w:rsidRPr="00755B91">
        <w:rPr>
          <w:rFonts w:cstheme="minorHAnsi"/>
        </w:rPr>
        <w:t xml:space="preserve"> = cantidad de Input i consumido por la unidad evaluada</w:t>
      </w:r>
    </w:p>
    <w:p w14:paraId="35897A6E" w14:textId="28DDA4CB" w:rsidR="00950388" w:rsidRDefault="00FD6C93" w:rsidP="00755B91">
      <w:pPr>
        <w:autoSpaceDE w:val="0"/>
        <w:autoSpaceDN w:val="0"/>
        <w:adjustRightInd w:val="0"/>
        <w:spacing w:after="0" w:line="360" w:lineRule="auto"/>
        <w:jc w:val="both"/>
        <w:rPr>
          <w:rFonts w:eastAsiaTheme="minorHAnsi" w:cstheme="minorHAnsi"/>
          <w:iCs/>
        </w:rPr>
      </w:pPr>
      <w:proofErr w:type="spellStart"/>
      <w:r w:rsidRPr="00755B91">
        <w:rPr>
          <w:rFonts w:eastAsiaTheme="minorHAnsi" w:cstheme="minorHAnsi"/>
          <w:i/>
          <w:iCs/>
        </w:rPr>
        <w:t>δi</w:t>
      </w:r>
      <w:proofErr w:type="spellEnd"/>
      <w:r w:rsidRPr="00755B91">
        <w:rPr>
          <w:rFonts w:eastAsiaTheme="minorHAnsi" w:cstheme="minorHAnsi"/>
          <w:i/>
          <w:iCs/>
        </w:rPr>
        <w:t xml:space="preserve"> = </w:t>
      </w:r>
      <w:r w:rsidRPr="00755B91">
        <w:rPr>
          <w:rFonts w:eastAsiaTheme="minorHAnsi" w:cstheme="minorHAnsi"/>
          <w:iCs/>
        </w:rPr>
        <w:t xml:space="preserve">ponderación asignada al </w:t>
      </w:r>
      <w:r w:rsidR="003A6E9D" w:rsidRPr="00755B91">
        <w:rPr>
          <w:rFonts w:eastAsiaTheme="minorHAnsi" w:cstheme="minorHAnsi"/>
          <w:iCs/>
        </w:rPr>
        <w:t>Input</w:t>
      </w:r>
      <w:r w:rsidRPr="00755B91">
        <w:rPr>
          <w:rFonts w:eastAsiaTheme="minorHAnsi" w:cstheme="minorHAnsi"/>
          <w:iCs/>
        </w:rPr>
        <w:t xml:space="preserve"> </w:t>
      </w:r>
      <w:r w:rsidR="003A6E9D" w:rsidRPr="00755B91">
        <w:rPr>
          <w:rFonts w:eastAsiaTheme="minorHAnsi" w:cstheme="minorHAnsi"/>
          <w:iCs/>
        </w:rPr>
        <w:t>i</w:t>
      </w:r>
    </w:p>
    <w:p w14:paraId="5A07C74D" w14:textId="05BDE613" w:rsidR="00F90967" w:rsidRDefault="00F90967" w:rsidP="00755B91">
      <w:pPr>
        <w:autoSpaceDE w:val="0"/>
        <w:autoSpaceDN w:val="0"/>
        <w:adjustRightInd w:val="0"/>
        <w:spacing w:after="0" w:line="360" w:lineRule="auto"/>
        <w:jc w:val="both"/>
        <w:rPr>
          <w:rFonts w:eastAsiaTheme="minorHAnsi" w:cstheme="minorHAnsi"/>
          <w:iCs/>
        </w:rPr>
      </w:pPr>
    </w:p>
    <w:p w14:paraId="61301189" w14:textId="2BF06D5D" w:rsidR="00F90967" w:rsidRDefault="00F90967" w:rsidP="00755B91">
      <w:pPr>
        <w:autoSpaceDE w:val="0"/>
        <w:autoSpaceDN w:val="0"/>
        <w:adjustRightInd w:val="0"/>
        <w:spacing w:after="0" w:line="360" w:lineRule="auto"/>
        <w:jc w:val="both"/>
        <w:rPr>
          <w:rFonts w:eastAsiaTheme="minorHAnsi" w:cstheme="minorHAnsi"/>
          <w:iCs/>
        </w:rPr>
      </w:pPr>
    </w:p>
    <w:p w14:paraId="41A0481A" w14:textId="77777777" w:rsidR="00F90967" w:rsidRPr="00755B91" w:rsidRDefault="00F90967" w:rsidP="00755B91">
      <w:pPr>
        <w:autoSpaceDE w:val="0"/>
        <w:autoSpaceDN w:val="0"/>
        <w:adjustRightInd w:val="0"/>
        <w:spacing w:after="0" w:line="360" w:lineRule="auto"/>
        <w:jc w:val="both"/>
        <w:rPr>
          <w:rFonts w:eastAsiaTheme="minorHAnsi" w:cstheme="minorHAnsi"/>
          <w:iCs/>
        </w:rPr>
      </w:pPr>
    </w:p>
    <w:p w14:paraId="5C66014D" w14:textId="4AA9D89A" w:rsidR="00564DC7" w:rsidRPr="00755B91" w:rsidRDefault="00F74355" w:rsidP="002920FE">
      <w:pPr>
        <w:spacing w:after="0" w:line="360" w:lineRule="auto"/>
        <w:ind w:firstLine="567"/>
        <w:jc w:val="both"/>
        <w:rPr>
          <w:rFonts w:cstheme="minorHAnsi"/>
        </w:rPr>
      </w:pPr>
      <w:r w:rsidRPr="00755B91">
        <w:rPr>
          <w:rFonts w:cstheme="minorHAnsi"/>
        </w:rPr>
        <w:t xml:space="preserve">A </w:t>
      </w:r>
      <w:r w:rsidR="00A40071" w:rsidRPr="00755B91">
        <w:rPr>
          <w:rFonts w:cstheme="minorHAnsi"/>
        </w:rPr>
        <w:t>continuación,</w:t>
      </w:r>
      <w:r w:rsidRPr="00755B91">
        <w:rPr>
          <w:rFonts w:cstheme="minorHAnsi"/>
        </w:rPr>
        <w:t xml:space="preserve"> se </w:t>
      </w:r>
      <w:r w:rsidR="00A40071" w:rsidRPr="00755B91">
        <w:rPr>
          <w:rFonts w:cstheme="minorHAnsi"/>
        </w:rPr>
        <w:t>presentan</w:t>
      </w:r>
      <w:r w:rsidRPr="00755B91">
        <w:rPr>
          <w:rFonts w:cstheme="minorHAnsi"/>
        </w:rPr>
        <w:t xml:space="preserve"> </w:t>
      </w:r>
      <w:r w:rsidR="00655659" w:rsidRPr="00755B91">
        <w:rPr>
          <w:rFonts w:cstheme="minorHAnsi"/>
        </w:rPr>
        <w:t>los resultados del análisis</w:t>
      </w:r>
      <w:r w:rsidRPr="00755B91">
        <w:rPr>
          <w:rFonts w:cstheme="minorHAnsi"/>
        </w:rPr>
        <w:t xml:space="preserve"> de eficiencia </w:t>
      </w:r>
      <w:r w:rsidR="00655659" w:rsidRPr="00755B91">
        <w:rPr>
          <w:rFonts w:cstheme="minorHAnsi"/>
        </w:rPr>
        <w:t xml:space="preserve">por el método DEA </w:t>
      </w:r>
      <w:r w:rsidRPr="00755B91">
        <w:rPr>
          <w:rFonts w:cstheme="minorHAnsi"/>
        </w:rPr>
        <w:t xml:space="preserve">de las </w:t>
      </w:r>
      <w:r w:rsidR="00A96F13" w:rsidRPr="00755B91">
        <w:rPr>
          <w:rFonts w:cstheme="minorHAnsi"/>
        </w:rPr>
        <w:t>52</w:t>
      </w:r>
      <w:r w:rsidRPr="00755B91">
        <w:rPr>
          <w:rFonts w:cstheme="minorHAnsi"/>
        </w:rPr>
        <w:t xml:space="preserve"> univ</w:t>
      </w:r>
      <w:r w:rsidR="001462FB" w:rsidRPr="00755B91">
        <w:rPr>
          <w:rFonts w:cstheme="minorHAnsi"/>
        </w:rPr>
        <w:t xml:space="preserve">ersidades </w:t>
      </w:r>
      <w:r w:rsidR="00A96F13" w:rsidRPr="00755B91">
        <w:rPr>
          <w:rFonts w:cstheme="minorHAnsi"/>
        </w:rPr>
        <w:t xml:space="preserve">finalmente </w:t>
      </w:r>
      <w:r w:rsidR="001462FB" w:rsidRPr="00755B91">
        <w:rPr>
          <w:rFonts w:cstheme="minorHAnsi"/>
        </w:rPr>
        <w:t>analizadas</w:t>
      </w:r>
      <w:r w:rsidRPr="00755B91">
        <w:rPr>
          <w:rFonts w:cstheme="minorHAnsi"/>
        </w:rPr>
        <w:t xml:space="preserve">, </w:t>
      </w:r>
      <w:r w:rsidR="002920FE" w:rsidRPr="00755B91">
        <w:rPr>
          <w:rFonts w:cstheme="minorHAnsi"/>
        </w:rPr>
        <w:t>de acuerdo con</w:t>
      </w:r>
      <w:r w:rsidRPr="00755B91">
        <w:rPr>
          <w:rFonts w:cstheme="minorHAnsi"/>
        </w:rPr>
        <w:t xml:space="preserve"> los presu</w:t>
      </w:r>
      <w:r w:rsidR="00A96F13" w:rsidRPr="00755B91">
        <w:rPr>
          <w:rFonts w:cstheme="minorHAnsi"/>
        </w:rPr>
        <w:t>puestos asignados en el año 2018</w:t>
      </w:r>
      <w:r w:rsidRPr="00755B91">
        <w:rPr>
          <w:rFonts w:cstheme="minorHAnsi"/>
        </w:rPr>
        <w:t>. </w:t>
      </w:r>
    </w:p>
    <w:p w14:paraId="504CC41C" w14:textId="5F24078B" w:rsidR="00151D7D" w:rsidRDefault="00151D7D" w:rsidP="00755B91">
      <w:pPr>
        <w:spacing w:after="0" w:line="360" w:lineRule="auto"/>
        <w:jc w:val="both"/>
        <w:rPr>
          <w:rFonts w:cstheme="minorHAnsi"/>
        </w:rPr>
      </w:pPr>
    </w:p>
    <w:p w14:paraId="044253B7" w14:textId="77777777" w:rsidR="002920FE" w:rsidRPr="00755B91" w:rsidRDefault="002920FE" w:rsidP="00755B91">
      <w:pPr>
        <w:spacing w:after="0" w:line="360" w:lineRule="auto"/>
        <w:jc w:val="both"/>
        <w:rPr>
          <w:rFonts w:cstheme="minorHAnsi"/>
        </w:rPr>
      </w:pPr>
    </w:p>
    <w:p w14:paraId="2C0C378C" w14:textId="47A175BB" w:rsidR="00A96F13" w:rsidRPr="00755B91" w:rsidRDefault="00B20C46" w:rsidP="002920FE">
      <w:pPr>
        <w:spacing w:after="0" w:line="360" w:lineRule="auto"/>
        <w:ind w:firstLine="284"/>
        <w:jc w:val="both"/>
        <w:rPr>
          <w:rFonts w:cstheme="minorHAnsi"/>
          <w:b/>
        </w:rPr>
      </w:pPr>
      <w:r w:rsidRPr="00755B91">
        <w:rPr>
          <w:rFonts w:cstheme="minorHAnsi"/>
          <w:b/>
        </w:rPr>
        <w:t>Resultados obtenidos</w:t>
      </w:r>
    </w:p>
    <w:p w14:paraId="6BBBB360" w14:textId="77777777" w:rsidR="00167100" w:rsidRPr="00755B91" w:rsidRDefault="00167100" w:rsidP="002920FE">
      <w:pPr>
        <w:spacing w:after="0" w:line="360" w:lineRule="auto"/>
        <w:ind w:firstLine="567"/>
        <w:jc w:val="both"/>
        <w:rPr>
          <w:rFonts w:cstheme="minorHAnsi"/>
        </w:rPr>
      </w:pPr>
      <w:r w:rsidRPr="00755B91">
        <w:rPr>
          <w:rFonts w:cstheme="minorHAnsi"/>
        </w:rPr>
        <w:t>En primer lugar, se e</w:t>
      </w:r>
      <w:r w:rsidR="00EC79AA" w:rsidRPr="00755B91">
        <w:rPr>
          <w:rFonts w:cstheme="minorHAnsi"/>
        </w:rPr>
        <w:t xml:space="preserve">xponen los resultados obtenidos en esta investigación </w:t>
      </w:r>
      <w:r w:rsidRPr="00755B91">
        <w:rPr>
          <w:rFonts w:cstheme="minorHAnsi"/>
        </w:rPr>
        <w:t xml:space="preserve">clasificados por regiones donde se localizan cada una de </w:t>
      </w:r>
      <w:r w:rsidR="00CE36B8" w:rsidRPr="00755B91">
        <w:rPr>
          <w:rFonts w:cstheme="minorHAnsi"/>
        </w:rPr>
        <w:t>las 52 universidades analizadas;</w:t>
      </w:r>
      <w:r w:rsidRPr="00755B91">
        <w:rPr>
          <w:rFonts w:cstheme="minorHAnsi"/>
        </w:rPr>
        <w:t xml:space="preserve"> para lo cual se presentan </w:t>
      </w:r>
      <w:r w:rsidR="00EC79AA" w:rsidRPr="00755B91">
        <w:rPr>
          <w:rFonts w:cstheme="minorHAnsi"/>
        </w:rPr>
        <w:t>a continuación</w:t>
      </w:r>
      <w:r w:rsidRPr="00755B91">
        <w:rPr>
          <w:rFonts w:cstheme="minorHAnsi"/>
        </w:rPr>
        <w:t xml:space="preserve"> las cinco regiones de Arge</w:t>
      </w:r>
      <w:r w:rsidR="00EC79AA" w:rsidRPr="00755B91">
        <w:rPr>
          <w:rFonts w:cstheme="minorHAnsi"/>
        </w:rPr>
        <w:t>ntina en las que se c</w:t>
      </w:r>
      <w:r w:rsidR="00CE36B8" w:rsidRPr="00755B91">
        <w:rPr>
          <w:rFonts w:cstheme="minorHAnsi"/>
        </w:rPr>
        <w:t>l</w:t>
      </w:r>
      <w:r w:rsidR="00EC79AA" w:rsidRPr="00755B91">
        <w:rPr>
          <w:rFonts w:cstheme="minorHAnsi"/>
        </w:rPr>
        <w:t>as</w:t>
      </w:r>
      <w:r w:rsidR="00CE36B8" w:rsidRPr="00755B91">
        <w:rPr>
          <w:rFonts w:cstheme="minorHAnsi"/>
        </w:rPr>
        <w:t xml:space="preserve">ifican los resultados obtenidos </w:t>
      </w:r>
      <w:proofErr w:type="gramStart"/>
      <w:r w:rsidR="00CE36B8" w:rsidRPr="00755B91">
        <w:rPr>
          <w:rFonts w:cstheme="minorHAnsi"/>
        </w:rPr>
        <w:t>de acuerdo a</w:t>
      </w:r>
      <w:proofErr w:type="gramEnd"/>
      <w:r w:rsidR="00CE36B8" w:rsidRPr="00755B91">
        <w:rPr>
          <w:rFonts w:cstheme="minorHAnsi"/>
        </w:rPr>
        <w:t xml:space="preserve"> la localización</w:t>
      </w:r>
      <w:r w:rsidRPr="00755B91">
        <w:rPr>
          <w:rFonts w:cstheme="minorHAnsi"/>
        </w:rPr>
        <w:t xml:space="preserve"> </w:t>
      </w:r>
      <w:r w:rsidR="00EC79AA" w:rsidRPr="00755B91">
        <w:rPr>
          <w:rFonts w:cstheme="minorHAnsi"/>
        </w:rPr>
        <w:t xml:space="preserve">geográfica </w:t>
      </w:r>
      <w:r w:rsidRPr="00755B91">
        <w:rPr>
          <w:rFonts w:cstheme="minorHAnsi"/>
        </w:rPr>
        <w:t>de las universidade</w:t>
      </w:r>
      <w:r w:rsidR="00CE36B8" w:rsidRPr="00755B91">
        <w:rPr>
          <w:rFonts w:cstheme="minorHAnsi"/>
        </w:rPr>
        <w:t>s investigadas.</w:t>
      </w:r>
    </w:p>
    <w:p w14:paraId="36366CBF" w14:textId="77777777" w:rsidR="00167100" w:rsidRPr="002920FE" w:rsidRDefault="00167100" w:rsidP="002920FE">
      <w:pPr>
        <w:pStyle w:val="Ttulo2"/>
        <w:tabs>
          <w:tab w:val="left" w:pos="284"/>
          <w:tab w:val="left" w:pos="8222"/>
        </w:tabs>
        <w:spacing w:before="0" w:line="360" w:lineRule="auto"/>
        <w:ind w:firstLine="567"/>
        <w:jc w:val="both"/>
        <w:rPr>
          <w:rFonts w:asciiTheme="minorHAnsi" w:hAnsiTheme="minorHAnsi" w:cstheme="minorHAnsi"/>
          <w:bCs/>
          <w:caps w:val="0"/>
          <w:sz w:val="22"/>
          <w:szCs w:val="22"/>
          <w:u w:val="single"/>
        </w:rPr>
      </w:pPr>
      <w:bookmarkStart w:id="0" w:name="_Toc414448367"/>
      <w:r w:rsidRPr="002920FE">
        <w:rPr>
          <w:rFonts w:asciiTheme="minorHAnsi" w:hAnsiTheme="minorHAnsi" w:cstheme="minorHAnsi"/>
          <w:bCs/>
          <w:caps w:val="0"/>
          <w:sz w:val="22"/>
          <w:szCs w:val="22"/>
          <w:u w:val="single"/>
        </w:rPr>
        <w:t>Localización geográfica de las universidades según regiones</w:t>
      </w:r>
      <w:bookmarkEnd w:id="0"/>
      <w:r w:rsidRPr="002920FE">
        <w:rPr>
          <w:rFonts w:asciiTheme="minorHAnsi" w:hAnsiTheme="minorHAnsi" w:cstheme="minorHAnsi"/>
          <w:bCs/>
          <w:caps w:val="0"/>
          <w:sz w:val="22"/>
          <w:szCs w:val="22"/>
          <w:u w:val="single"/>
        </w:rPr>
        <w:t xml:space="preserve"> </w:t>
      </w:r>
    </w:p>
    <w:p w14:paraId="739BE35A" w14:textId="77777777" w:rsidR="00167100" w:rsidRPr="00755B91" w:rsidRDefault="00167100" w:rsidP="002920FE">
      <w:pPr>
        <w:spacing w:after="0" w:line="360" w:lineRule="auto"/>
        <w:ind w:firstLine="567"/>
        <w:jc w:val="both"/>
        <w:rPr>
          <w:rFonts w:cstheme="minorHAnsi"/>
        </w:rPr>
      </w:pPr>
      <w:r w:rsidRPr="00755B91">
        <w:rPr>
          <w:rFonts w:cstheme="minorHAnsi"/>
        </w:rPr>
        <w:t xml:space="preserve">Considerando el espacio geográfico de la República Argentina y teniendo en cuenta las regiones que la conforman, resulta importante determinar la distribución y localización donde </w:t>
      </w:r>
      <w:r w:rsidR="009326EF" w:rsidRPr="00755B91">
        <w:rPr>
          <w:rFonts w:cstheme="minorHAnsi"/>
        </w:rPr>
        <w:t>se localizan</w:t>
      </w:r>
      <w:r w:rsidRPr="00755B91">
        <w:rPr>
          <w:rFonts w:cstheme="minorHAnsi"/>
        </w:rPr>
        <w:t xml:space="preserve"> y se concentran las universidades nacionales de gestión estatal, a fin de poder </w:t>
      </w:r>
      <w:r w:rsidR="009326EF" w:rsidRPr="00755B91">
        <w:rPr>
          <w:rFonts w:cstheme="minorHAnsi"/>
        </w:rPr>
        <w:t>advertir</w:t>
      </w:r>
      <w:r w:rsidRPr="00755B91">
        <w:rPr>
          <w:rFonts w:cstheme="minorHAnsi"/>
        </w:rPr>
        <w:t xml:space="preserve"> algunas relaciones de análisis </w:t>
      </w:r>
      <w:r w:rsidR="009326EF" w:rsidRPr="00755B91">
        <w:rPr>
          <w:rFonts w:cstheme="minorHAnsi"/>
        </w:rPr>
        <w:t xml:space="preserve">de los resultados con </w:t>
      </w:r>
      <w:r w:rsidR="001E100C" w:rsidRPr="00755B91">
        <w:rPr>
          <w:rFonts w:cstheme="minorHAnsi"/>
        </w:rPr>
        <w:t>respecto a</w:t>
      </w:r>
      <w:r w:rsidRPr="00755B91">
        <w:rPr>
          <w:rFonts w:cstheme="minorHAnsi"/>
        </w:rPr>
        <w:t xml:space="preserve"> la localización de </w:t>
      </w:r>
      <w:proofErr w:type="gramStart"/>
      <w:r w:rsidRPr="00755B91">
        <w:rPr>
          <w:rFonts w:cstheme="minorHAnsi"/>
        </w:rPr>
        <w:t>las mismas</w:t>
      </w:r>
      <w:proofErr w:type="gramEnd"/>
      <w:r w:rsidRPr="00755B91">
        <w:rPr>
          <w:rFonts w:cstheme="minorHAnsi"/>
        </w:rPr>
        <w:t>.</w:t>
      </w:r>
    </w:p>
    <w:p w14:paraId="3E6DE716" w14:textId="3CFAD394" w:rsidR="00167100" w:rsidRDefault="00167100" w:rsidP="002920FE">
      <w:pPr>
        <w:spacing w:after="0" w:line="360" w:lineRule="auto"/>
        <w:ind w:firstLine="567"/>
        <w:jc w:val="both"/>
        <w:rPr>
          <w:rFonts w:cstheme="minorHAnsi"/>
        </w:rPr>
      </w:pPr>
      <w:r w:rsidRPr="00755B91">
        <w:rPr>
          <w:rFonts w:cstheme="minorHAnsi"/>
        </w:rPr>
        <w:t>Para facilitar la comprensión de la distribución geográfica regional de l</w:t>
      </w:r>
      <w:r w:rsidR="00EC4E33" w:rsidRPr="00755B91">
        <w:rPr>
          <w:rFonts w:cstheme="minorHAnsi"/>
        </w:rPr>
        <w:t>as universidades, en la Figura 3</w:t>
      </w:r>
      <w:r w:rsidRPr="00755B91">
        <w:rPr>
          <w:rFonts w:cstheme="minorHAnsi"/>
        </w:rPr>
        <w:t xml:space="preserve"> se puede observar una descripción gráfica de las regiones y las provincias que las conforman.</w:t>
      </w:r>
    </w:p>
    <w:p w14:paraId="7D93AF33" w14:textId="75571126" w:rsidR="00F90967" w:rsidRDefault="00F90967" w:rsidP="00F90967">
      <w:pPr>
        <w:spacing w:after="0" w:line="240" w:lineRule="auto"/>
        <w:jc w:val="both"/>
        <w:rPr>
          <w:rFonts w:cstheme="minorHAnsi"/>
        </w:rPr>
      </w:pPr>
    </w:p>
    <w:p w14:paraId="2839CF59" w14:textId="676D800A" w:rsidR="00F90967" w:rsidRDefault="00F90967" w:rsidP="00F90967">
      <w:pPr>
        <w:spacing w:after="0" w:line="240" w:lineRule="auto"/>
        <w:jc w:val="both"/>
        <w:rPr>
          <w:rFonts w:cstheme="minorHAnsi"/>
        </w:rPr>
      </w:pPr>
    </w:p>
    <w:p w14:paraId="6ED5F99D" w14:textId="21D5F126" w:rsidR="00F90967" w:rsidRDefault="00F90967" w:rsidP="00F90967">
      <w:pPr>
        <w:spacing w:after="0" w:line="240" w:lineRule="auto"/>
        <w:jc w:val="both"/>
        <w:rPr>
          <w:rFonts w:cstheme="minorHAnsi"/>
        </w:rPr>
      </w:pPr>
    </w:p>
    <w:p w14:paraId="2791150D" w14:textId="03E149D3" w:rsidR="00F90967" w:rsidRDefault="00F90967" w:rsidP="00F90967">
      <w:pPr>
        <w:spacing w:after="0" w:line="240" w:lineRule="auto"/>
        <w:jc w:val="both"/>
        <w:rPr>
          <w:rFonts w:cstheme="minorHAnsi"/>
        </w:rPr>
      </w:pPr>
    </w:p>
    <w:p w14:paraId="74D9DCAB" w14:textId="64F39517" w:rsidR="00F90967" w:rsidRDefault="00F90967" w:rsidP="00F90967">
      <w:pPr>
        <w:spacing w:after="0" w:line="240" w:lineRule="auto"/>
        <w:jc w:val="both"/>
        <w:rPr>
          <w:rFonts w:cstheme="minorHAnsi"/>
        </w:rPr>
      </w:pPr>
    </w:p>
    <w:p w14:paraId="6FAB6EB1" w14:textId="1EC26640" w:rsidR="00F90967" w:rsidRDefault="00F90967" w:rsidP="00F90967">
      <w:pPr>
        <w:spacing w:after="0" w:line="240" w:lineRule="auto"/>
        <w:jc w:val="both"/>
        <w:rPr>
          <w:rFonts w:cstheme="minorHAnsi"/>
        </w:rPr>
      </w:pPr>
    </w:p>
    <w:p w14:paraId="22D97919" w14:textId="0C077160" w:rsidR="00F90967" w:rsidRDefault="00F90967" w:rsidP="00F90967">
      <w:pPr>
        <w:spacing w:after="0" w:line="240" w:lineRule="auto"/>
        <w:jc w:val="both"/>
        <w:rPr>
          <w:rFonts w:cstheme="minorHAnsi"/>
        </w:rPr>
      </w:pPr>
    </w:p>
    <w:p w14:paraId="149539AF" w14:textId="77777777" w:rsidR="00F90967" w:rsidRDefault="00F90967" w:rsidP="00F90967">
      <w:pPr>
        <w:spacing w:after="0" w:line="240" w:lineRule="auto"/>
        <w:jc w:val="both"/>
        <w:rPr>
          <w:rFonts w:cstheme="minorHAnsi"/>
        </w:rPr>
      </w:pPr>
    </w:p>
    <w:p w14:paraId="358962D9" w14:textId="2B1BB19B" w:rsidR="00F90967" w:rsidRDefault="00F90967" w:rsidP="00F90967">
      <w:pPr>
        <w:spacing w:after="0" w:line="240" w:lineRule="auto"/>
        <w:jc w:val="both"/>
        <w:rPr>
          <w:rFonts w:cstheme="minorHAnsi"/>
        </w:rPr>
      </w:pPr>
      <w:r w:rsidRPr="00755B91">
        <w:rPr>
          <w:rFonts w:cstheme="minorHAnsi"/>
          <w:noProof/>
          <w:lang w:eastAsia="es-AR"/>
        </w:rPr>
        <w:lastRenderedPageBreak/>
        <w:drawing>
          <wp:anchor distT="0" distB="0" distL="114300" distR="114300" simplePos="0" relativeHeight="251672576" behindDoc="0" locked="0" layoutInCell="1" allowOverlap="1" wp14:anchorId="289410C0" wp14:editId="72F0E64C">
            <wp:simplePos x="0" y="0"/>
            <wp:positionH relativeFrom="column">
              <wp:posOffset>196469</wp:posOffset>
            </wp:positionH>
            <wp:positionV relativeFrom="paragraph">
              <wp:posOffset>-991</wp:posOffset>
            </wp:positionV>
            <wp:extent cx="5756910" cy="2589581"/>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2589581"/>
                    </a:xfrm>
                    <a:prstGeom prst="rect">
                      <a:avLst/>
                    </a:prstGeom>
                    <a:noFill/>
                    <a:ln>
                      <a:noFill/>
                    </a:ln>
                  </pic:spPr>
                </pic:pic>
              </a:graphicData>
            </a:graphic>
            <wp14:sizeRelV relativeFrom="margin">
              <wp14:pctHeight>0</wp14:pctHeight>
            </wp14:sizeRelV>
          </wp:anchor>
        </w:drawing>
      </w:r>
    </w:p>
    <w:p w14:paraId="0CA2D259" w14:textId="45B0CFAB" w:rsidR="002920FE" w:rsidRDefault="002920FE" w:rsidP="002920FE">
      <w:pPr>
        <w:spacing w:after="0" w:line="240" w:lineRule="auto"/>
        <w:jc w:val="both"/>
      </w:pPr>
      <w:bookmarkStart w:id="1" w:name="_Toc416206255"/>
    </w:p>
    <w:p w14:paraId="1E2031A9" w14:textId="541DE421" w:rsidR="002920FE" w:rsidRDefault="002920FE" w:rsidP="002920FE">
      <w:pPr>
        <w:spacing w:after="0" w:line="240" w:lineRule="auto"/>
        <w:jc w:val="both"/>
      </w:pPr>
    </w:p>
    <w:p w14:paraId="19C5A79F" w14:textId="4EBC4C3D" w:rsidR="002920FE" w:rsidRDefault="002920FE" w:rsidP="002920FE">
      <w:pPr>
        <w:spacing w:after="0" w:line="240" w:lineRule="auto"/>
        <w:jc w:val="both"/>
      </w:pPr>
    </w:p>
    <w:p w14:paraId="28C592F5" w14:textId="3EA38FD4" w:rsidR="002920FE" w:rsidRDefault="002920FE" w:rsidP="002920FE">
      <w:pPr>
        <w:spacing w:after="0" w:line="240" w:lineRule="auto"/>
        <w:jc w:val="both"/>
      </w:pPr>
    </w:p>
    <w:p w14:paraId="23D19527" w14:textId="3A53CA8A" w:rsidR="002920FE" w:rsidRDefault="002920FE" w:rsidP="002920FE">
      <w:pPr>
        <w:spacing w:after="0" w:line="240" w:lineRule="auto"/>
        <w:jc w:val="both"/>
      </w:pPr>
    </w:p>
    <w:p w14:paraId="3B8DF403" w14:textId="4FD6F5CC" w:rsidR="002920FE" w:rsidRDefault="002920FE" w:rsidP="002920FE">
      <w:pPr>
        <w:spacing w:after="0" w:line="240" w:lineRule="auto"/>
        <w:jc w:val="both"/>
      </w:pPr>
    </w:p>
    <w:p w14:paraId="04A083BB" w14:textId="1CEA50A3" w:rsidR="002920FE" w:rsidRDefault="002920FE" w:rsidP="002920FE">
      <w:pPr>
        <w:spacing w:after="0" w:line="240" w:lineRule="auto"/>
        <w:jc w:val="both"/>
      </w:pPr>
    </w:p>
    <w:p w14:paraId="64243D6D" w14:textId="5D5571FC" w:rsidR="002920FE" w:rsidRDefault="002920FE" w:rsidP="002920FE">
      <w:pPr>
        <w:spacing w:after="0" w:line="240" w:lineRule="auto"/>
        <w:jc w:val="both"/>
      </w:pPr>
    </w:p>
    <w:p w14:paraId="3202C643" w14:textId="2F7CB987" w:rsidR="002920FE" w:rsidRDefault="002920FE" w:rsidP="002920FE">
      <w:pPr>
        <w:spacing w:after="0" w:line="240" w:lineRule="auto"/>
        <w:jc w:val="both"/>
      </w:pPr>
    </w:p>
    <w:p w14:paraId="5EE64AEE" w14:textId="3BD29ED4" w:rsidR="002920FE" w:rsidRDefault="002920FE" w:rsidP="002920FE">
      <w:pPr>
        <w:spacing w:after="0" w:line="240" w:lineRule="auto"/>
        <w:jc w:val="both"/>
      </w:pPr>
    </w:p>
    <w:p w14:paraId="1A2403F5" w14:textId="1999A986" w:rsidR="00F90967" w:rsidRDefault="00F90967" w:rsidP="002920FE">
      <w:pPr>
        <w:spacing w:after="0" w:line="240" w:lineRule="auto"/>
        <w:jc w:val="both"/>
      </w:pPr>
    </w:p>
    <w:p w14:paraId="370929EF" w14:textId="1EC8E4D1" w:rsidR="00F90967" w:rsidRDefault="00F90967" w:rsidP="002920FE">
      <w:pPr>
        <w:spacing w:after="0" w:line="240" w:lineRule="auto"/>
        <w:jc w:val="both"/>
      </w:pPr>
    </w:p>
    <w:p w14:paraId="1BFED73B" w14:textId="203FDCBC" w:rsidR="00F90967" w:rsidRDefault="00F90967" w:rsidP="002920FE">
      <w:pPr>
        <w:spacing w:after="0" w:line="240" w:lineRule="auto"/>
        <w:jc w:val="both"/>
      </w:pPr>
    </w:p>
    <w:p w14:paraId="4D03D716" w14:textId="7CA83515" w:rsidR="00F90967" w:rsidRDefault="00F90967" w:rsidP="002920FE">
      <w:pPr>
        <w:spacing w:after="0" w:line="240" w:lineRule="auto"/>
        <w:jc w:val="both"/>
      </w:pPr>
    </w:p>
    <w:bookmarkEnd w:id="1"/>
    <w:p w14:paraId="089B1C77" w14:textId="7D61184D" w:rsidR="00DA65A0" w:rsidRPr="002920FE" w:rsidRDefault="00001879" w:rsidP="002920FE">
      <w:pPr>
        <w:pStyle w:val="Descripcin"/>
        <w:keepNext/>
        <w:spacing w:after="0"/>
        <w:jc w:val="both"/>
        <w:rPr>
          <w:rFonts w:cstheme="minorHAnsi"/>
          <w:b w:val="0"/>
          <w:bCs w:val="0"/>
          <w:color w:val="auto"/>
          <w:sz w:val="20"/>
          <w:szCs w:val="20"/>
        </w:rPr>
      </w:pPr>
      <w:r w:rsidRPr="002920FE">
        <w:rPr>
          <w:rFonts w:cstheme="minorHAnsi"/>
          <w:b w:val="0"/>
          <w:bCs w:val="0"/>
          <w:color w:val="auto"/>
          <w:sz w:val="20"/>
          <w:szCs w:val="20"/>
        </w:rPr>
        <w:t>Figura 3. Regiones y provincias de Argentina</w:t>
      </w:r>
      <w:r w:rsidR="002920FE">
        <w:rPr>
          <w:rFonts w:cstheme="minorHAnsi"/>
          <w:b w:val="0"/>
          <w:bCs w:val="0"/>
          <w:color w:val="auto"/>
          <w:sz w:val="20"/>
          <w:szCs w:val="20"/>
        </w:rPr>
        <w:t xml:space="preserve">. </w:t>
      </w:r>
      <w:r w:rsidR="00DA65A0" w:rsidRPr="002920FE">
        <w:rPr>
          <w:rFonts w:cstheme="minorHAnsi"/>
          <w:b w:val="0"/>
          <w:bCs w:val="0"/>
          <w:color w:val="auto"/>
          <w:sz w:val="20"/>
          <w:szCs w:val="20"/>
        </w:rPr>
        <w:t>Fuente: Elaboración propia</w:t>
      </w:r>
    </w:p>
    <w:p w14:paraId="419FB023" w14:textId="77777777" w:rsidR="00F12EB0" w:rsidRPr="00F90967" w:rsidRDefault="00F12EB0" w:rsidP="00F90967">
      <w:pPr>
        <w:spacing w:after="0" w:line="360" w:lineRule="auto"/>
        <w:ind w:firstLine="567"/>
        <w:jc w:val="both"/>
        <w:rPr>
          <w:rFonts w:cstheme="minorHAnsi"/>
        </w:rPr>
      </w:pPr>
    </w:p>
    <w:p w14:paraId="2634FD51" w14:textId="77777777" w:rsidR="00167100" w:rsidRPr="00F90967" w:rsidRDefault="00167100" w:rsidP="00F90967">
      <w:pPr>
        <w:spacing w:after="0" w:line="360" w:lineRule="auto"/>
        <w:ind w:firstLine="567"/>
        <w:jc w:val="both"/>
        <w:rPr>
          <w:rFonts w:cstheme="minorHAnsi"/>
        </w:rPr>
      </w:pPr>
      <w:r w:rsidRPr="00F90967">
        <w:rPr>
          <w:rFonts w:cstheme="minorHAnsi"/>
        </w:rPr>
        <w:t xml:space="preserve">La concentración o mayor densidad de universidades se encuentra localizada en la región </w:t>
      </w:r>
      <w:r w:rsidR="006A3C5F" w:rsidRPr="00F90967">
        <w:rPr>
          <w:rFonts w:cstheme="minorHAnsi"/>
        </w:rPr>
        <w:t>Pampeana que representan el 64</w:t>
      </w:r>
      <w:r w:rsidRPr="00F90967">
        <w:rPr>
          <w:rFonts w:cstheme="minorHAnsi"/>
        </w:rPr>
        <w:t xml:space="preserve">% respecto del total de las que se consideran en este estudio. </w:t>
      </w:r>
      <w:r w:rsidR="006A3C5F" w:rsidRPr="00F90967">
        <w:rPr>
          <w:rFonts w:cstheme="minorHAnsi"/>
        </w:rPr>
        <w:t>El 36</w:t>
      </w:r>
      <w:r w:rsidR="00F45A86" w:rsidRPr="00F90967">
        <w:rPr>
          <w:rFonts w:cstheme="minorHAnsi"/>
        </w:rPr>
        <w:t>% restante se localizan en las regiones Noroeste (12</w:t>
      </w:r>
      <w:r w:rsidRPr="00F90967">
        <w:rPr>
          <w:rFonts w:cstheme="minorHAnsi"/>
        </w:rPr>
        <w:t>%)</w:t>
      </w:r>
      <w:r w:rsidR="006A3C5F" w:rsidRPr="00F90967">
        <w:rPr>
          <w:rFonts w:cstheme="minorHAnsi"/>
        </w:rPr>
        <w:t>, Noreste (9</w:t>
      </w:r>
      <w:r w:rsidRPr="00F90967">
        <w:rPr>
          <w:rFonts w:cstheme="minorHAnsi"/>
        </w:rPr>
        <w:t xml:space="preserve">%), </w:t>
      </w:r>
      <w:r w:rsidR="006A3C5F" w:rsidRPr="00F90967">
        <w:rPr>
          <w:rFonts w:cstheme="minorHAnsi"/>
        </w:rPr>
        <w:t>Cuyo (7 %) y Patagónica (9</w:t>
      </w:r>
      <w:r w:rsidRPr="00F90967">
        <w:rPr>
          <w:rFonts w:cstheme="minorHAnsi"/>
        </w:rPr>
        <w:t>%), como</w:t>
      </w:r>
      <w:r w:rsidR="00317077" w:rsidRPr="00F90967">
        <w:rPr>
          <w:rFonts w:cstheme="minorHAnsi"/>
        </w:rPr>
        <w:t xml:space="preserve"> puede apreciarse en la Figura 4</w:t>
      </w:r>
      <w:r w:rsidRPr="00F90967">
        <w:rPr>
          <w:rFonts w:cstheme="minorHAnsi"/>
        </w:rPr>
        <w:t>.</w:t>
      </w:r>
    </w:p>
    <w:p w14:paraId="73802BDC" w14:textId="65299A8C" w:rsidR="00001879" w:rsidRPr="00F90967" w:rsidRDefault="00F90967" w:rsidP="00755B91">
      <w:pPr>
        <w:spacing w:after="0" w:line="360" w:lineRule="auto"/>
        <w:jc w:val="both"/>
        <w:rPr>
          <w:rFonts w:cstheme="minorHAnsi"/>
        </w:rPr>
      </w:pPr>
      <w:r w:rsidRPr="00F90967">
        <w:rPr>
          <w:rFonts w:cstheme="minorHAnsi"/>
          <w:noProof/>
          <w:lang w:eastAsia="es-AR"/>
        </w:rPr>
        <w:drawing>
          <wp:anchor distT="0" distB="0" distL="114300" distR="114300" simplePos="0" relativeHeight="251674624" behindDoc="0" locked="0" layoutInCell="1" allowOverlap="1" wp14:anchorId="3EEA93B2" wp14:editId="081ACAD3">
            <wp:simplePos x="0" y="0"/>
            <wp:positionH relativeFrom="margin">
              <wp:posOffset>-660</wp:posOffset>
            </wp:positionH>
            <wp:positionV relativeFrom="paragraph">
              <wp:posOffset>46355</wp:posOffset>
            </wp:positionV>
            <wp:extent cx="5904230" cy="198183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4230" cy="1981835"/>
                    </a:xfrm>
                    <a:prstGeom prst="rect">
                      <a:avLst/>
                    </a:prstGeom>
                    <a:noFill/>
                    <a:ln>
                      <a:noFill/>
                    </a:ln>
                  </pic:spPr>
                </pic:pic>
              </a:graphicData>
            </a:graphic>
            <wp14:sizeRelV relativeFrom="margin">
              <wp14:pctHeight>0</wp14:pctHeight>
            </wp14:sizeRelV>
          </wp:anchor>
        </w:drawing>
      </w:r>
    </w:p>
    <w:p w14:paraId="31434064" w14:textId="77777777" w:rsidR="00001879" w:rsidRPr="00F90967" w:rsidRDefault="00001879" w:rsidP="00755B91">
      <w:pPr>
        <w:spacing w:after="0" w:line="360" w:lineRule="auto"/>
        <w:jc w:val="both"/>
        <w:rPr>
          <w:rFonts w:cstheme="minorHAnsi"/>
        </w:rPr>
      </w:pPr>
    </w:p>
    <w:p w14:paraId="7991A6F1" w14:textId="77777777" w:rsidR="00167100" w:rsidRPr="00F90967" w:rsidRDefault="00167100" w:rsidP="00755B91">
      <w:pPr>
        <w:tabs>
          <w:tab w:val="left" w:pos="284"/>
          <w:tab w:val="left" w:pos="8222"/>
        </w:tabs>
        <w:spacing w:after="0" w:line="360" w:lineRule="auto"/>
        <w:jc w:val="both"/>
        <w:rPr>
          <w:rFonts w:cstheme="minorHAnsi"/>
          <w:bCs/>
        </w:rPr>
      </w:pPr>
    </w:p>
    <w:p w14:paraId="63BE6096" w14:textId="77777777" w:rsidR="00167100" w:rsidRPr="00F90967" w:rsidRDefault="00167100" w:rsidP="00755B91">
      <w:pPr>
        <w:spacing w:after="0" w:line="360" w:lineRule="auto"/>
        <w:jc w:val="both"/>
        <w:rPr>
          <w:rFonts w:cstheme="minorHAnsi"/>
          <w:b/>
        </w:rPr>
      </w:pPr>
    </w:p>
    <w:p w14:paraId="198C5035" w14:textId="77777777" w:rsidR="00E74B21" w:rsidRPr="00F90967" w:rsidRDefault="00E74B21" w:rsidP="00755B91">
      <w:pPr>
        <w:spacing w:after="0" w:line="360" w:lineRule="auto"/>
        <w:jc w:val="both"/>
        <w:rPr>
          <w:rFonts w:cstheme="minorHAnsi"/>
          <w:b/>
        </w:rPr>
      </w:pPr>
    </w:p>
    <w:p w14:paraId="36EDC271" w14:textId="77777777" w:rsidR="00E74B21" w:rsidRPr="00F90967" w:rsidRDefault="00E74B21" w:rsidP="00755B91">
      <w:pPr>
        <w:spacing w:after="0" w:line="360" w:lineRule="auto"/>
        <w:jc w:val="both"/>
        <w:rPr>
          <w:rFonts w:cstheme="minorHAnsi"/>
          <w:b/>
        </w:rPr>
      </w:pPr>
    </w:p>
    <w:p w14:paraId="5A4943F0" w14:textId="77777777" w:rsidR="00E74B21" w:rsidRPr="00F90967" w:rsidRDefault="00E74B21" w:rsidP="00755B91">
      <w:pPr>
        <w:spacing w:after="0" w:line="360" w:lineRule="auto"/>
        <w:jc w:val="both"/>
        <w:rPr>
          <w:rFonts w:cstheme="minorHAnsi"/>
          <w:b/>
        </w:rPr>
      </w:pPr>
    </w:p>
    <w:p w14:paraId="47C034B0" w14:textId="77777777" w:rsidR="00E74B21" w:rsidRPr="00F90967" w:rsidRDefault="00E74B21" w:rsidP="00755B91">
      <w:pPr>
        <w:spacing w:after="0" w:line="360" w:lineRule="auto"/>
        <w:jc w:val="both"/>
        <w:rPr>
          <w:rFonts w:cstheme="minorHAnsi"/>
          <w:b/>
        </w:rPr>
      </w:pPr>
    </w:p>
    <w:p w14:paraId="6E727B08" w14:textId="191562F3" w:rsidR="009A4221" w:rsidRPr="00F90967" w:rsidRDefault="00001879" w:rsidP="00F90967">
      <w:pPr>
        <w:spacing w:after="0" w:line="240" w:lineRule="auto"/>
        <w:jc w:val="both"/>
        <w:rPr>
          <w:rFonts w:cstheme="minorHAnsi"/>
          <w:sz w:val="20"/>
          <w:szCs w:val="20"/>
        </w:rPr>
      </w:pPr>
      <w:r w:rsidRPr="00F90967">
        <w:rPr>
          <w:rFonts w:cstheme="minorHAnsi"/>
          <w:color w:val="000000" w:themeColor="text1"/>
          <w:sz w:val="20"/>
          <w:szCs w:val="20"/>
        </w:rPr>
        <w:t>Figura 4. Localización universidades analizadas según regiones geográficas</w:t>
      </w:r>
      <w:r w:rsidR="00F90967">
        <w:rPr>
          <w:rFonts w:cstheme="minorHAnsi"/>
          <w:color w:val="000000" w:themeColor="text1"/>
          <w:sz w:val="20"/>
          <w:szCs w:val="20"/>
        </w:rPr>
        <w:t xml:space="preserve">. </w:t>
      </w:r>
      <w:r w:rsidR="00681B84" w:rsidRPr="00F90967">
        <w:rPr>
          <w:rFonts w:cstheme="minorHAnsi"/>
          <w:sz w:val="20"/>
          <w:szCs w:val="20"/>
        </w:rPr>
        <w:t xml:space="preserve"> Fuente: Elaboración propia</w:t>
      </w:r>
    </w:p>
    <w:p w14:paraId="38E6C6FC" w14:textId="77777777" w:rsidR="005D558B" w:rsidRPr="00755B91" w:rsidRDefault="005D558B" w:rsidP="00755B91">
      <w:pPr>
        <w:autoSpaceDE w:val="0"/>
        <w:autoSpaceDN w:val="0"/>
        <w:adjustRightInd w:val="0"/>
        <w:spacing w:after="0" w:line="360" w:lineRule="auto"/>
        <w:jc w:val="both"/>
        <w:rPr>
          <w:rFonts w:cstheme="minorHAnsi"/>
        </w:rPr>
      </w:pPr>
    </w:p>
    <w:p w14:paraId="086C8CBD" w14:textId="77777777" w:rsidR="005D558B" w:rsidRPr="00755B91" w:rsidRDefault="005D558B" w:rsidP="00755B91">
      <w:pPr>
        <w:spacing w:after="0" w:line="360" w:lineRule="auto"/>
        <w:jc w:val="both"/>
        <w:rPr>
          <w:rFonts w:cstheme="minorHAnsi"/>
          <w:b/>
          <w:color w:val="000000" w:themeColor="text1"/>
        </w:rPr>
      </w:pPr>
    </w:p>
    <w:p w14:paraId="475FE44F" w14:textId="332A8526" w:rsidR="00920DC4" w:rsidRPr="00755B91" w:rsidRDefault="00316C0F" w:rsidP="00F90967">
      <w:pPr>
        <w:spacing w:after="0" w:line="360" w:lineRule="auto"/>
        <w:ind w:firstLine="284"/>
        <w:jc w:val="both"/>
        <w:rPr>
          <w:rFonts w:cstheme="minorHAnsi"/>
          <w:b/>
          <w:color w:val="000000" w:themeColor="text1"/>
        </w:rPr>
      </w:pPr>
      <w:r w:rsidRPr="00755B91">
        <w:rPr>
          <w:rFonts w:cstheme="minorHAnsi"/>
          <w:b/>
          <w:color w:val="000000" w:themeColor="text1"/>
        </w:rPr>
        <w:t>Resultados de eficiencia en la partida de personal de las universidades públicas según regiones geográficas. Año 2018</w:t>
      </w:r>
    </w:p>
    <w:p w14:paraId="0F27F030" w14:textId="77777777" w:rsidR="00920DC4" w:rsidRPr="00755B91" w:rsidRDefault="008859F0" w:rsidP="00F90967">
      <w:pPr>
        <w:spacing w:after="0" w:line="360" w:lineRule="auto"/>
        <w:ind w:firstLine="567"/>
        <w:jc w:val="both"/>
        <w:rPr>
          <w:rFonts w:cstheme="minorHAnsi"/>
        </w:rPr>
      </w:pPr>
      <w:r w:rsidRPr="00755B91">
        <w:rPr>
          <w:rFonts w:cstheme="minorHAnsi"/>
        </w:rPr>
        <w:t>P</w:t>
      </w:r>
      <w:r w:rsidR="00E74B21" w:rsidRPr="00755B91">
        <w:rPr>
          <w:rFonts w:cstheme="minorHAnsi"/>
        </w:rPr>
        <w:t>or cada Región geográfica,</w:t>
      </w:r>
      <w:r w:rsidR="00920DC4" w:rsidRPr="00755B91">
        <w:rPr>
          <w:rFonts w:cstheme="minorHAnsi"/>
        </w:rPr>
        <w:t xml:space="preserve"> se exponen</w:t>
      </w:r>
      <w:r w:rsidRPr="00755B91">
        <w:rPr>
          <w:rFonts w:cstheme="minorHAnsi"/>
        </w:rPr>
        <w:t xml:space="preserve"> a continuación</w:t>
      </w:r>
      <w:r w:rsidR="00920DC4" w:rsidRPr="00755B91">
        <w:rPr>
          <w:rFonts w:cstheme="minorHAnsi"/>
        </w:rPr>
        <w:t xml:space="preserve"> los resultados del análisis de eficiencia </w:t>
      </w:r>
      <w:r w:rsidR="00920DC4" w:rsidRPr="00755B91">
        <w:rPr>
          <w:rFonts w:cstheme="minorHAnsi"/>
          <w:color w:val="000000" w:themeColor="text1"/>
        </w:rPr>
        <w:t xml:space="preserve">de la partida de Personal, </w:t>
      </w:r>
      <w:r w:rsidR="00E74B21" w:rsidRPr="00755B91">
        <w:rPr>
          <w:rFonts w:cstheme="minorHAnsi"/>
        </w:rPr>
        <w:t>obtenidos mediante la aplicación del modelo DEA orientado al “input” con re</w:t>
      </w:r>
      <w:r w:rsidRPr="00755B91">
        <w:rPr>
          <w:rFonts w:cstheme="minorHAnsi"/>
        </w:rPr>
        <w:t>ndimientos constantes a escala.</w:t>
      </w:r>
    </w:p>
    <w:p w14:paraId="57B067F9" w14:textId="77777777" w:rsidR="008859F0" w:rsidRPr="00F90967" w:rsidRDefault="008859F0" w:rsidP="00F90967">
      <w:pPr>
        <w:spacing w:after="0" w:line="360" w:lineRule="auto"/>
        <w:ind w:firstLine="567"/>
        <w:jc w:val="both"/>
        <w:rPr>
          <w:rFonts w:cstheme="minorHAnsi"/>
          <w:bCs/>
          <w:color w:val="000000" w:themeColor="text1"/>
          <w:u w:val="single"/>
        </w:rPr>
      </w:pPr>
      <w:r w:rsidRPr="00F90967">
        <w:rPr>
          <w:rFonts w:cstheme="minorHAnsi"/>
          <w:bCs/>
          <w:color w:val="000000" w:themeColor="text1"/>
          <w:u w:val="single"/>
        </w:rPr>
        <w:t>Región Noroeste</w:t>
      </w:r>
    </w:p>
    <w:p w14:paraId="259197B2" w14:textId="166D69F7" w:rsidR="009A4221" w:rsidRPr="00755B91" w:rsidRDefault="00F619D6" w:rsidP="00F90967">
      <w:pPr>
        <w:spacing w:after="0" w:line="360" w:lineRule="auto"/>
        <w:ind w:firstLine="567"/>
        <w:jc w:val="both"/>
        <w:rPr>
          <w:rFonts w:cstheme="minorHAnsi"/>
          <w:color w:val="000000" w:themeColor="text1"/>
        </w:rPr>
      </w:pPr>
      <w:r w:rsidRPr="00755B91">
        <w:rPr>
          <w:rFonts w:cstheme="minorHAnsi"/>
          <w:color w:val="000000" w:themeColor="text1"/>
        </w:rPr>
        <w:t xml:space="preserve">En la Figura </w:t>
      </w:r>
      <w:r w:rsidR="008859F0" w:rsidRPr="00755B91">
        <w:rPr>
          <w:rFonts w:cstheme="minorHAnsi"/>
          <w:color w:val="000000" w:themeColor="text1"/>
        </w:rPr>
        <w:t xml:space="preserve">5 se presentan los índices de eficiencia determinados para cada una de las universidades localizadas geográficamente en las provincias de la Región Noroeste, comprobándose que </w:t>
      </w:r>
      <w:r w:rsidR="00316C0F" w:rsidRPr="00755B91">
        <w:rPr>
          <w:rFonts w:cstheme="minorHAnsi"/>
          <w:color w:val="000000" w:themeColor="text1"/>
        </w:rPr>
        <w:t>ninguna de las universidades públicas localizadas en esta región se ubica</w:t>
      </w:r>
      <w:r w:rsidR="005D558B" w:rsidRPr="00755B91">
        <w:rPr>
          <w:rFonts w:cstheme="minorHAnsi"/>
          <w:color w:val="000000" w:themeColor="text1"/>
        </w:rPr>
        <w:t xml:space="preserve"> en la frontera de eficiencia</w:t>
      </w:r>
    </w:p>
    <w:p w14:paraId="0FE97E2F" w14:textId="5D3564DB" w:rsidR="008859F0" w:rsidRPr="00F90967" w:rsidRDefault="00C16CB6" w:rsidP="00F90967">
      <w:pPr>
        <w:pStyle w:val="Sinespaciado"/>
        <w:jc w:val="both"/>
        <w:rPr>
          <w:rFonts w:eastAsia="Times New Roman" w:cstheme="minorHAnsi"/>
          <w:sz w:val="20"/>
          <w:szCs w:val="20"/>
          <w:lang w:eastAsia="es-AR"/>
        </w:rPr>
      </w:pPr>
      <w:r w:rsidRPr="00F90967">
        <w:rPr>
          <w:rFonts w:cstheme="minorHAnsi"/>
          <w:b/>
          <w:i/>
          <w:noProof/>
          <w:sz w:val="20"/>
          <w:szCs w:val="20"/>
          <w:lang w:eastAsia="es-AR"/>
        </w:rPr>
        <w:lastRenderedPageBreak/>
        <w:drawing>
          <wp:anchor distT="0" distB="0" distL="114300" distR="114300" simplePos="0" relativeHeight="251661312" behindDoc="0" locked="0" layoutInCell="1" allowOverlap="1" wp14:anchorId="1A05892A" wp14:editId="5C858E11">
            <wp:simplePos x="0" y="0"/>
            <wp:positionH relativeFrom="margin">
              <wp:align>left</wp:align>
            </wp:positionH>
            <wp:positionV relativeFrom="paragraph">
              <wp:posOffset>193853</wp:posOffset>
            </wp:positionV>
            <wp:extent cx="1560988" cy="2251710"/>
            <wp:effectExtent l="19050" t="19050" r="20320" b="152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0988" cy="2251710"/>
                    </a:xfrm>
                    <a:prstGeom prst="rect">
                      <a:avLst/>
                    </a:prstGeom>
                    <a:noFill/>
                    <a:ln>
                      <a:solidFill>
                        <a:schemeClr val="tx1"/>
                      </a:solidFill>
                    </a:ln>
                  </pic:spPr>
                </pic:pic>
              </a:graphicData>
            </a:graphic>
          </wp:anchor>
        </w:drawing>
      </w:r>
    </w:p>
    <w:tbl>
      <w:tblPr>
        <w:tblW w:w="5693" w:type="dxa"/>
        <w:tblInd w:w="2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2012"/>
      </w:tblGrid>
      <w:tr w:rsidR="008859F0" w:rsidRPr="00F90967" w14:paraId="559BCB34" w14:textId="77777777" w:rsidTr="009A4221">
        <w:trPr>
          <w:trHeight w:hRule="exact" w:val="454"/>
        </w:trPr>
        <w:tc>
          <w:tcPr>
            <w:tcW w:w="3681" w:type="dxa"/>
            <w:shd w:val="clear" w:color="auto" w:fill="00B0F0"/>
            <w:noWrap/>
            <w:vAlign w:val="bottom"/>
            <w:hideMark/>
          </w:tcPr>
          <w:p w14:paraId="0B9A82C1" w14:textId="77777777" w:rsidR="008859F0" w:rsidRPr="00F90967" w:rsidRDefault="0077395B" w:rsidP="00F90967">
            <w:pPr>
              <w:spacing w:after="0" w:line="240" w:lineRule="auto"/>
              <w:jc w:val="both"/>
              <w:rPr>
                <w:rFonts w:eastAsia="Times New Roman" w:cstheme="minorHAnsi"/>
                <w:b/>
                <w:bCs/>
                <w:color w:val="000000"/>
                <w:sz w:val="20"/>
                <w:szCs w:val="20"/>
                <w:lang w:eastAsia="es-AR"/>
              </w:rPr>
            </w:pPr>
            <w:r w:rsidRPr="00F90967">
              <w:rPr>
                <w:rFonts w:eastAsia="Times New Roman" w:cstheme="minorHAnsi"/>
                <w:b/>
                <w:bCs/>
                <w:color w:val="000000"/>
                <w:sz w:val="20"/>
                <w:szCs w:val="20"/>
                <w:lang w:eastAsia="es-AR"/>
              </w:rPr>
              <w:t xml:space="preserve">Provincias de la Región </w:t>
            </w:r>
            <w:r w:rsidR="008859F0" w:rsidRPr="00F90967">
              <w:rPr>
                <w:rFonts w:eastAsia="Times New Roman" w:cstheme="minorHAnsi"/>
                <w:b/>
                <w:bCs/>
                <w:color w:val="000000"/>
                <w:sz w:val="20"/>
                <w:szCs w:val="20"/>
                <w:lang w:eastAsia="es-AR"/>
              </w:rPr>
              <w:t>Noroeste</w:t>
            </w:r>
          </w:p>
        </w:tc>
        <w:tc>
          <w:tcPr>
            <w:tcW w:w="2012" w:type="dxa"/>
            <w:shd w:val="clear" w:color="auto" w:fill="00B0F0"/>
            <w:noWrap/>
            <w:vAlign w:val="bottom"/>
            <w:hideMark/>
          </w:tcPr>
          <w:p w14:paraId="4196EA00" w14:textId="77777777" w:rsidR="008859F0" w:rsidRPr="00F90967" w:rsidRDefault="00C16CB6" w:rsidP="00F90967">
            <w:pPr>
              <w:spacing w:after="0" w:line="240" w:lineRule="auto"/>
              <w:jc w:val="both"/>
              <w:rPr>
                <w:rFonts w:eastAsia="Times New Roman" w:cstheme="minorHAnsi"/>
                <w:b/>
                <w:bCs/>
                <w:color w:val="000000"/>
                <w:sz w:val="20"/>
                <w:szCs w:val="20"/>
                <w:lang w:eastAsia="es-AR"/>
              </w:rPr>
            </w:pPr>
            <w:r w:rsidRPr="00F90967">
              <w:rPr>
                <w:rFonts w:eastAsia="Times New Roman" w:cstheme="minorHAnsi"/>
                <w:b/>
                <w:bCs/>
                <w:color w:val="000000"/>
                <w:sz w:val="20"/>
                <w:szCs w:val="20"/>
                <w:lang w:eastAsia="es-AR"/>
              </w:rPr>
              <w:t>Índice de eficiencia</w:t>
            </w:r>
          </w:p>
        </w:tc>
      </w:tr>
      <w:tr w:rsidR="00491133" w:rsidRPr="00F90967" w14:paraId="2FFFF1C9" w14:textId="77777777" w:rsidTr="007D0003">
        <w:trPr>
          <w:trHeight w:hRule="exact" w:val="454"/>
        </w:trPr>
        <w:tc>
          <w:tcPr>
            <w:tcW w:w="3681" w:type="dxa"/>
            <w:shd w:val="clear" w:color="auto" w:fill="auto"/>
            <w:noWrap/>
            <w:vAlign w:val="bottom"/>
            <w:hideMark/>
          </w:tcPr>
          <w:p w14:paraId="54CF757D"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Santiago del Estero</w:t>
            </w:r>
          </w:p>
        </w:tc>
        <w:tc>
          <w:tcPr>
            <w:tcW w:w="2012" w:type="dxa"/>
            <w:shd w:val="clear" w:color="auto" w:fill="auto"/>
            <w:noWrap/>
            <w:vAlign w:val="bottom"/>
            <w:hideMark/>
          </w:tcPr>
          <w:p w14:paraId="35DB0FF5"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0,39</w:t>
            </w:r>
          </w:p>
        </w:tc>
      </w:tr>
      <w:tr w:rsidR="00491133" w:rsidRPr="00F90967" w14:paraId="795E8DF3" w14:textId="77777777" w:rsidTr="007D0003">
        <w:trPr>
          <w:trHeight w:hRule="exact" w:val="454"/>
        </w:trPr>
        <w:tc>
          <w:tcPr>
            <w:tcW w:w="3681" w:type="dxa"/>
            <w:shd w:val="clear" w:color="auto" w:fill="auto"/>
            <w:noWrap/>
            <w:vAlign w:val="bottom"/>
            <w:hideMark/>
          </w:tcPr>
          <w:p w14:paraId="08EB8650"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Tucumán</w:t>
            </w:r>
          </w:p>
        </w:tc>
        <w:tc>
          <w:tcPr>
            <w:tcW w:w="2012" w:type="dxa"/>
            <w:shd w:val="clear" w:color="auto" w:fill="auto"/>
            <w:noWrap/>
            <w:vAlign w:val="bottom"/>
            <w:hideMark/>
          </w:tcPr>
          <w:p w14:paraId="4E8C59D1"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0,25</w:t>
            </w:r>
          </w:p>
        </w:tc>
      </w:tr>
      <w:tr w:rsidR="00491133" w:rsidRPr="00F90967" w14:paraId="1FA7C2DC" w14:textId="77777777" w:rsidTr="007D0003">
        <w:trPr>
          <w:trHeight w:hRule="exact" w:val="454"/>
        </w:trPr>
        <w:tc>
          <w:tcPr>
            <w:tcW w:w="3681" w:type="dxa"/>
            <w:shd w:val="clear" w:color="auto" w:fill="auto"/>
            <w:noWrap/>
            <w:vAlign w:val="bottom"/>
            <w:hideMark/>
          </w:tcPr>
          <w:p w14:paraId="3B789A1D"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La Rioja</w:t>
            </w:r>
          </w:p>
        </w:tc>
        <w:tc>
          <w:tcPr>
            <w:tcW w:w="2012" w:type="dxa"/>
            <w:shd w:val="clear" w:color="auto" w:fill="auto"/>
            <w:noWrap/>
            <w:vAlign w:val="bottom"/>
            <w:hideMark/>
          </w:tcPr>
          <w:p w14:paraId="1CBD27AC"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0,22</w:t>
            </w:r>
          </w:p>
        </w:tc>
      </w:tr>
      <w:tr w:rsidR="00491133" w:rsidRPr="00F90967" w14:paraId="1006A550" w14:textId="77777777" w:rsidTr="007D0003">
        <w:trPr>
          <w:trHeight w:hRule="exact" w:val="454"/>
        </w:trPr>
        <w:tc>
          <w:tcPr>
            <w:tcW w:w="3681" w:type="dxa"/>
            <w:shd w:val="clear" w:color="auto" w:fill="auto"/>
            <w:noWrap/>
            <w:vAlign w:val="bottom"/>
            <w:hideMark/>
          </w:tcPr>
          <w:p w14:paraId="01EB2F71"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Catamarca</w:t>
            </w:r>
          </w:p>
        </w:tc>
        <w:tc>
          <w:tcPr>
            <w:tcW w:w="2012" w:type="dxa"/>
            <w:shd w:val="clear" w:color="auto" w:fill="auto"/>
            <w:noWrap/>
            <w:vAlign w:val="bottom"/>
            <w:hideMark/>
          </w:tcPr>
          <w:p w14:paraId="3687BA66"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0,21</w:t>
            </w:r>
          </w:p>
        </w:tc>
      </w:tr>
      <w:tr w:rsidR="00491133" w:rsidRPr="00F90967" w14:paraId="48D07E55" w14:textId="77777777" w:rsidTr="007D0003">
        <w:trPr>
          <w:trHeight w:hRule="exact" w:val="454"/>
        </w:trPr>
        <w:tc>
          <w:tcPr>
            <w:tcW w:w="3681" w:type="dxa"/>
            <w:shd w:val="clear" w:color="auto" w:fill="auto"/>
            <w:noWrap/>
            <w:vAlign w:val="bottom"/>
            <w:hideMark/>
          </w:tcPr>
          <w:p w14:paraId="6A00B8C4"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Chilecito</w:t>
            </w:r>
          </w:p>
        </w:tc>
        <w:tc>
          <w:tcPr>
            <w:tcW w:w="2012" w:type="dxa"/>
            <w:shd w:val="clear" w:color="auto" w:fill="auto"/>
            <w:noWrap/>
            <w:vAlign w:val="bottom"/>
            <w:hideMark/>
          </w:tcPr>
          <w:p w14:paraId="38BD14B7"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0,21</w:t>
            </w:r>
          </w:p>
        </w:tc>
      </w:tr>
      <w:tr w:rsidR="00491133" w:rsidRPr="00F90967" w14:paraId="7833DEC2" w14:textId="77777777" w:rsidTr="007D0003">
        <w:trPr>
          <w:trHeight w:hRule="exact" w:val="454"/>
        </w:trPr>
        <w:tc>
          <w:tcPr>
            <w:tcW w:w="3681" w:type="dxa"/>
            <w:shd w:val="clear" w:color="auto" w:fill="auto"/>
            <w:noWrap/>
            <w:vAlign w:val="bottom"/>
            <w:hideMark/>
          </w:tcPr>
          <w:p w14:paraId="018B5228"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Salta</w:t>
            </w:r>
          </w:p>
        </w:tc>
        <w:tc>
          <w:tcPr>
            <w:tcW w:w="2012" w:type="dxa"/>
            <w:shd w:val="clear" w:color="auto" w:fill="auto"/>
            <w:noWrap/>
            <w:vAlign w:val="bottom"/>
            <w:hideMark/>
          </w:tcPr>
          <w:p w14:paraId="58DB82C0"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0,19</w:t>
            </w:r>
          </w:p>
        </w:tc>
      </w:tr>
      <w:tr w:rsidR="00491133" w:rsidRPr="00F90967" w14:paraId="684A5AE2" w14:textId="77777777" w:rsidTr="00F90967">
        <w:trPr>
          <w:trHeight w:hRule="exact" w:val="562"/>
        </w:trPr>
        <w:tc>
          <w:tcPr>
            <w:tcW w:w="3681" w:type="dxa"/>
            <w:shd w:val="clear" w:color="auto" w:fill="auto"/>
            <w:noWrap/>
            <w:vAlign w:val="bottom"/>
            <w:hideMark/>
          </w:tcPr>
          <w:p w14:paraId="78F5AA11"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Jujuy</w:t>
            </w:r>
          </w:p>
        </w:tc>
        <w:tc>
          <w:tcPr>
            <w:tcW w:w="2012" w:type="dxa"/>
            <w:shd w:val="clear" w:color="auto" w:fill="auto"/>
            <w:noWrap/>
            <w:vAlign w:val="bottom"/>
            <w:hideMark/>
          </w:tcPr>
          <w:p w14:paraId="038A361B" w14:textId="77777777" w:rsidR="00491133" w:rsidRPr="00F90967" w:rsidRDefault="00491133"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0,10</w:t>
            </w:r>
          </w:p>
        </w:tc>
      </w:tr>
    </w:tbl>
    <w:p w14:paraId="078D8F55" w14:textId="0352275D" w:rsidR="008859F0" w:rsidRPr="00F90967" w:rsidRDefault="00316C0F" w:rsidP="00F90967">
      <w:pPr>
        <w:autoSpaceDE w:val="0"/>
        <w:autoSpaceDN w:val="0"/>
        <w:adjustRightInd w:val="0"/>
        <w:spacing w:after="0" w:line="240" w:lineRule="auto"/>
        <w:jc w:val="both"/>
        <w:rPr>
          <w:rFonts w:cstheme="minorHAnsi"/>
          <w:bCs/>
          <w:sz w:val="20"/>
          <w:szCs w:val="20"/>
        </w:rPr>
      </w:pPr>
      <w:r w:rsidRPr="00F90967">
        <w:rPr>
          <w:rFonts w:eastAsia="Times New Roman" w:cstheme="minorHAnsi"/>
          <w:bCs/>
          <w:sz w:val="20"/>
          <w:szCs w:val="20"/>
          <w:lang w:eastAsia="es-AR"/>
        </w:rPr>
        <w:t>Figura 5: Índices de eficiencia de universidades localizadas en la Región Noroeste</w:t>
      </w:r>
      <w:r w:rsidR="00F90967">
        <w:rPr>
          <w:rFonts w:eastAsia="Times New Roman" w:cstheme="minorHAnsi"/>
          <w:bCs/>
          <w:sz w:val="20"/>
          <w:szCs w:val="20"/>
          <w:lang w:eastAsia="es-AR"/>
        </w:rPr>
        <w:t xml:space="preserve">. </w:t>
      </w:r>
      <w:r w:rsidR="001E45F2" w:rsidRPr="00F90967">
        <w:rPr>
          <w:rFonts w:cstheme="minorHAnsi"/>
          <w:bCs/>
          <w:sz w:val="20"/>
          <w:szCs w:val="20"/>
        </w:rPr>
        <w:t xml:space="preserve"> </w:t>
      </w:r>
      <w:r w:rsidR="008859F0" w:rsidRPr="00F90967">
        <w:rPr>
          <w:rFonts w:cstheme="minorHAnsi"/>
          <w:bCs/>
          <w:sz w:val="20"/>
          <w:szCs w:val="20"/>
        </w:rPr>
        <w:t>Fuente: Elaboración propia</w:t>
      </w:r>
    </w:p>
    <w:p w14:paraId="5CC073B0" w14:textId="77777777" w:rsidR="008859F0" w:rsidRPr="00755B91" w:rsidRDefault="008859F0" w:rsidP="00755B91">
      <w:pPr>
        <w:spacing w:after="0" w:line="360" w:lineRule="auto"/>
        <w:jc w:val="both"/>
        <w:rPr>
          <w:rFonts w:cstheme="minorHAnsi"/>
        </w:rPr>
      </w:pPr>
    </w:p>
    <w:p w14:paraId="5E230F89" w14:textId="77777777" w:rsidR="00C16CB6" w:rsidRPr="00F90967" w:rsidRDefault="00C16CB6" w:rsidP="00F90967">
      <w:pPr>
        <w:spacing w:after="0" w:line="360" w:lineRule="auto"/>
        <w:ind w:firstLine="567"/>
        <w:jc w:val="both"/>
        <w:rPr>
          <w:rFonts w:cstheme="minorHAnsi"/>
          <w:bCs/>
          <w:color w:val="000000" w:themeColor="text1"/>
          <w:u w:val="single"/>
        </w:rPr>
      </w:pPr>
      <w:r w:rsidRPr="00F90967">
        <w:rPr>
          <w:rFonts w:cstheme="minorHAnsi"/>
          <w:bCs/>
          <w:color w:val="000000" w:themeColor="text1"/>
          <w:u w:val="single"/>
        </w:rPr>
        <w:t>Región Noreste</w:t>
      </w:r>
    </w:p>
    <w:p w14:paraId="0217EA7E" w14:textId="1CF05EF1" w:rsidR="00C16CB6" w:rsidRPr="00755B91" w:rsidRDefault="00967905" w:rsidP="00F90967">
      <w:pPr>
        <w:spacing w:after="0" w:line="360" w:lineRule="auto"/>
        <w:ind w:firstLine="567"/>
        <w:jc w:val="both"/>
        <w:rPr>
          <w:rFonts w:cstheme="minorHAnsi"/>
          <w:color w:val="000000" w:themeColor="text1"/>
        </w:rPr>
      </w:pPr>
      <w:r w:rsidRPr="00755B91">
        <w:rPr>
          <w:rFonts w:cstheme="minorHAnsi"/>
          <w:color w:val="000000" w:themeColor="text1"/>
        </w:rPr>
        <w:t>En la Figura</w:t>
      </w:r>
      <w:r w:rsidR="006A0119" w:rsidRPr="00755B91">
        <w:rPr>
          <w:rFonts w:cstheme="minorHAnsi"/>
          <w:color w:val="000000" w:themeColor="text1"/>
        </w:rPr>
        <w:t xml:space="preserve"> 6</w:t>
      </w:r>
      <w:r w:rsidR="00C16CB6" w:rsidRPr="00755B91">
        <w:rPr>
          <w:rFonts w:cstheme="minorHAnsi"/>
          <w:color w:val="000000" w:themeColor="text1"/>
        </w:rPr>
        <w:t xml:space="preserve"> se presentan los índices de eficiencia determinados para cada una de las universidades localizadas geográficamente en las provincias de la Región N</w:t>
      </w:r>
      <w:r w:rsidR="006A0119" w:rsidRPr="00755B91">
        <w:rPr>
          <w:rFonts w:cstheme="minorHAnsi"/>
          <w:color w:val="000000" w:themeColor="text1"/>
        </w:rPr>
        <w:t>or</w:t>
      </w:r>
      <w:r w:rsidR="00C16CB6" w:rsidRPr="00755B91">
        <w:rPr>
          <w:rFonts w:cstheme="minorHAnsi"/>
          <w:color w:val="000000" w:themeColor="text1"/>
        </w:rPr>
        <w:t xml:space="preserve">este, comprobándose </w:t>
      </w:r>
      <w:r w:rsidR="006A0119" w:rsidRPr="00755B91">
        <w:rPr>
          <w:rFonts w:cstheme="minorHAnsi"/>
          <w:color w:val="000000" w:themeColor="text1"/>
        </w:rPr>
        <w:t xml:space="preserve">también </w:t>
      </w:r>
      <w:r w:rsidR="00B0596D" w:rsidRPr="00755B91">
        <w:rPr>
          <w:rFonts w:cstheme="minorHAnsi"/>
          <w:color w:val="000000" w:themeColor="text1"/>
        </w:rPr>
        <w:t xml:space="preserve">que </w:t>
      </w:r>
      <w:r w:rsidR="00316C0F" w:rsidRPr="00755B91">
        <w:rPr>
          <w:rFonts w:cstheme="minorHAnsi"/>
          <w:color w:val="000000" w:themeColor="text1"/>
        </w:rPr>
        <w:t>ninguna de las universidades públicas localizadas en esta región se ubica</w:t>
      </w:r>
      <w:r w:rsidR="00C16CB6" w:rsidRPr="00755B91">
        <w:rPr>
          <w:rFonts w:cstheme="minorHAnsi"/>
          <w:color w:val="000000" w:themeColor="text1"/>
        </w:rPr>
        <w:t xml:space="preserve"> en la frontera de eficiencia.</w:t>
      </w:r>
    </w:p>
    <w:tbl>
      <w:tblPr>
        <w:tblW w:w="5693" w:type="dxa"/>
        <w:tblInd w:w="2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2012"/>
      </w:tblGrid>
      <w:tr w:rsidR="00C16CB6" w:rsidRPr="00755B91" w14:paraId="3EABA68B" w14:textId="77777777" w:rsidTr="000A7484">
        <w:trPr>
          <w:trHeight w:hRule="exact" w:val="454"/>
        </w:trPr>
        <w:tc>
          <w:tcPr>
            <w:tcW w:w="3681" w:type="dxa"/>
            <w:shd w:val="clear" w:color="auto" w:fill="00B0F0"/>
            <w:noWrap/>
            <w:vAlign w:val="bottom"/>
            <w:hideMark/>
          </w:tcPr>
          <w:p w14:paraId="4E5DD4DB" w14:textId="77777777" w:rsidR="00C16CB6" w:rsidRPr="00F90967" w:rsidRDefault="00C16CB6" w:rsidP="00755B91">
            <w:pPr>
              <w:spacing w:after="0" w:line="360" w:lineRule="auto"/>
              <w:jc w:val="both"/>
              <w:rPr>
                <w:rFonts w:eastAsia="Times New Roman" w:cstheme="minorHAnsi"/>
                <w:b/>
                <w:bCs/>
                <w:color w:val="000000"/>
                <w:sz w:val="20"/>
                <w:szCs w:val="20"/>
                <w:lang w:eastAsia="es-AR"/>
              </w:rPr>
            </w:pPr>
            <w:r w:rsidRPr="00F90967">
              <w:rPr>
                <w:rFonts w:eastAsia="Times New Roman" w:cstheme="minorHAnsi"/>
                <w:b/>
                <w:bCs/>
                <w:color w:val="000000"/>
                <w:sz w:val="20"/>
                <w:szCs w:val="20"/>
                <w:lang w:eastAsia="es-AR"/>
              </w:rPr>
              <w:t>Provincias de la Región Noreste</w:t>
            </w:r>
          </w:p>
        </w:tc>
        <w:tc>
          <w:tcPr>
            <w:tcW w:w="2012" w:type="dxa"/>
            <w:shd w:val="clear" w:color="auto" w:fill="00B0F0"/>
            <w:noWrap/>
            <w:vAlign w:val="bottom"/>
            <w:hideMark/>
          </w:tcPr>
          <w:p w14:paraId="00BBC61B" w14:textId="77777777" w:rsidR="00C16CB6" w:rsidRPr="00F90967" w:rsidRDefault="00C16CB6" w:rsidP="00755B91">
            <w:pPr>
              <w:spacing w:after="0" w:line="360" w:lineRule="auto"/>
              <w:jc w:val="both"/>
              <w:rPr>
                <w:rFonts w:eastAsia="Times New Roman" w:cstheme="minorHAnsi"/>
                <w:b/>
                <w:bCs/>
                <w:color w:val="000000"/>
                <w:sz w:val="20"/>
                <w:szCs w:val="20"/>
                <w:lang w:eastAsia="es-AR"/>
              </w:rPr>
            </w:pPr>
            <w:r w:rsidRPr="00F90967">
              <w:rPr>
                <w:rFonts w:eastAsia="Times New Roman" w:cstheme="minorHAnsi"/>
                <w:b/>
                <w:bCs/>
                <w:color w:val="000000"/>
                <w:sz w:val="20"/>
                <w:szCs w:val="20"/>
                <w:lang w:eastAsia="es-AR"/>
              </w:rPr>
              <w:t>Índice de eficiencia</w:t>
            </w:r>
          </w:p>
        </w:tc>
      </w:tr>
      <w:tr w:rsidR="007D0003" w:rsidRPr="00755B91" w14:paraId="46F73FFD" w14:textId="77777777" w:rsidTr="00B74443">
        <w:trPr>
          <w:trHeight w:hRule="exact" w:val="454"/>
        </w:trPr>
        <w:tc>
          <w:tcPr>
            <w:tcW w:w="3681" w:type="dxa"/>
            <w:shd w:val="clear" w:color="auto" w:fill="auto"/>
            <w:noWrap/>
            <w:vAlign w:val="bottom"/>
            <w:hideMark/>
          </w:tcPr>
          <w:p w14:paraId="5A20E6D5"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Nordeste</w:t>
            </w:r>
          </w:p>
        </w:tc>
        <w:tc>
          <w:tcPr>
            <w:tcW w:w="2012" w:type="dxa"/>
            <w:shd w:val="clear" w:color="auto" w:fill="auto"/>
            <w:noWrap/>
            <w:vAlign w:val="bottom"/>
            <w:hideMark/>
          </w:tcPr>
          <w:p w14:paraId="3B44517F"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0,44</w:t>
            </w:r>
          </w:p>
        </w:tc>
      </w:tr>
      <w:tr w:rsidR="007D0003" w:rsidRPr="00755B91" w14:paraId="2B246DEE" w14:textId="77777777" w:rsidTr="00B74443">
        <w:trPr>
          <w:trHeight w:hRule="exact" w:val="454"/>
        </w:trPr>
        <w:tc>
          <w:tcPr>
            <w:tcW w:w="3681" w:type="dxa"/>
            <w:shd w:val="clear" w:color="auto" w:fill="auto"/>
            <w:noWrap/>
            <w:vAlign w:val="bottom"/>
            <w:hideMark/>
          </w:tcPr>
          <w:p w14:paraId="165EB85C"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Misiones</w:t>
            </w:r>
          </w:p>
        </w:tc>
        <w:tc>
          <w:tcPr>
            <w:tcW w:w="2012" w:type="dxa"/>
            <w:shd w:val="clear" w:color="auto" w:fill="auto"/>
            <w:noWrap/>
            <w:vAlign w:val="bottom"/>
            <w:hideMark/>
          </w:tcPr>
          <w:p w14:paraId="4AD36708"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0,41</w:t>
            </w:r>
          </w:p>
        </w:tc>
      </w:tr>
      <w:tr w:rsidR="007D0003" w:rsidRPr="00755B91" w14:paraId="21D0BFC5" w14:textId="77777777" w:rsidTr="00B74443">
        <w:trPr>
          <w:trHeight w:hRule="exact" w:val="454"/>
        </w:trPr>
        <w:tc>
          <w:tcPr>
            <w:tcW w:w="3681" w:type="dxa"/>
            <w:shd w:val="clear" w:color="auto" w:fill="auto"/>
            <w:noWrap/>
            <w:vAlign w:val="bottom"/>
            <w:hideMark/>
          </w:tcPr>
          <w:p w14:paraId="2F9A1D00"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Formosa</w:t>
            </w:r>
          </w:p>
        </w:tc>
        <w:tc>
          <w:tcPr>
            <w:tcW w:w="2012" w:type="dxa"/>
            <w:shd w:val="clear" w:color="auto" w:fill="auto"/>
            <w:noWrap/>
            <w:vAlign w:val="bottom"/>
            <w:hideMark/>
          </w:tcPr>
          <w:p w14:paraId="46576529"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0,33</w:t>
            </w:r>
          </w:p>
        </w:tc>
      </w:tr>
      <w:tr w:rsidR="007D0003" w:rsidRPr="00755B91" w14:paraId="724A95A9" w14:textId="77777777" w:rsidTr="00B74443">
        <w:trPr>
          <w:trHeight w:hRule="exact" w:val="454"/>
        </w:trPr>
        <w:tc>
          <w:tcPr>
            <w:tcW w:w="3681" w:type="dxa"/>
            <w:shd w:val="clear" w:color="auto" w:fill="auto"/>
            <w:noWrap/>
            <w:vAlign w:val="bottom"/>
            <w:hideMark/>
          </w:tcPr>
          <w:p w14:paraId="6059B54B"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Chaco Austral</w:t>
            </w:r>
          </w:p>
        </w:tc>
        <w:tc>
          <w:tcPr>
            <w:tcW w:w="2012" w:type="dxa"/>
            <w:shd w:val="clear" w:color="auto" w:fill="auto"/>
            <w:noWrap/>
            <w:vAlign w:val="bottom"/>
            <w:hideMark/>
          </w:tcPr>
          <w:p w14:paraId="6C8CD815"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0,32</w:t>
            </w:r>
          </w:p>
        </w:tc>
      </w:tr>
      <w:tr w:rsidR="007D0003" w:rsidRPr="00755B91" w14:paraId="6491464F" w14:textId="77777777" w:rsidTr="00B74443">
        <w:trPr>
          <w:trHeight w:hRule="exact" w:val="454"/>
        </w:trPr>
        <w:tc>
          <w:tcPr>
            <w:tcW w:w="3681" w:type="dxa"/>
            <w:shd w:val="clear" w:color="auto" w:fill="auto"/>
            <w:noWrap/>
            <w:vAlign w:val="bottom"/>
            <w:hideMark/>
          </w:tcPr>
          <w:p w14:paraId="325C744C"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Entre Ríos</w:t>
            </w:r>
          </w:p>
        </w:tc>
        <w:tc>
          <w:tcPr>
            <w:tcW w:w="2012" w:type="dxa"/>
            <w:shd w:val="clear" w:color="auto" w:fill="auto"/>
            <w:noWrap/>
            <w:vAlign w:val="bottom"/>
            <w:hideMark/>
          </w:tcPr>
          <w:p w14:paraId="1FE663D9" w14:textId="77777777" w:rsidR="007D0003" w:rsidRPr="00F90967" w:rsidRDefault="007D0003" w:rsidP="00755B91">
            <w:pPr>
              <w:spacing w:after="0" w:line="360" w:lineRule="auto"/>
              <w:ind w:firstLineChars="100" w:firstLine="200"/>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0,31</w:t>
            </w:r>
          </w:p>
        </w:tc>
      </w:tr>
    </w:tbl>
    <w:p w14:paraId="344333AB" w14:textId="2354260F" w:rsidR="00C16CB6" w:rsidRPr="00F90967" w:rsidRDefault="00386D3F" w:rsidP="00755B91">
      <w:pPr>
        <w:autoSpaceDE w:val="0"/>
        <w:autoSpaceDN w:val="0"/>
        <w:adjustRightInd w:val="0"/>
        <w:spacing w:after="0" w:line="360" w:lineRule="auto"/>
        <w:jc w:val="both"/>
        <w:rPr>
          <w:rFonts w:eastAsia="Times New Roman" w:cstheme="minorHAnsi"/>
          <w:sz w:val="20"/>
          <w:szCs w:val="20"/>
          <w:lang w:eastAsia="es-AR"/>
        </w:rPr>
      </w:pPr>
      <w:r w:rsidRPr="00F90967">
        <w:rPr>
          <w:rFonts w:cstheme="minorHAnsi"/>
          <w:noProof/>
          <w:sz w:val="20"/>
          <w:szCs w:val="20"/>
          <w:lang w:eastAsia="es-AR"/>
        </w:rPr>
        <w:drawing>
          <wp:anchor distT="0" distB="0" distL="114300" distR="114300" simplePos="0" relativeHeight="251662336" behindDoc="0" locked="0" layoutInCell="1" allowOverlap="1" wp14:anchorId="0093DA34" wp14:editId="58DD3EDA">
            <wp:simplePos x="0" y="0"/>
            <wp:positionH relativeFrom="margin">
              <wp:align>left</wp:align>
            </wp:positionH>
            <wp:positionV relativeFrom="paragraph">
              <wp:posOffset>-1720215</wp:posOffset>
            </wp:positionV>
            <wp:extent cx="1362921" cy="1671955"/>
            <wp:effectExtent l="19050" t="19050" r="27940" b="2349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2921" cy="1671955"/>
                    </a:xfrm>
                    <a:prstGeom prst="rect">
                      <a:avLst/>
                    </a:prstGeom>
                    <a:noFill/>
                    <a:ln w="9525">
                      <a:solidFill>
                        <a:schemeClr val="tx1"/>
                      </a:solidFill>
                    </a:ln>
                  </pic:spPr>
                </pic:pic>
              </a:graphicData>
            </a:graphic>
          </wp:anchor>
        </w:drawing>
      </w:r>
      <w:r w:rsidR="00316C0F" w:rsidRPr="00F90967">
        <w:rPr>
          <w:rFonts w:eastAsia="Times New Roman" w:cstheme="minorHAnsi"/>
          <w:sz w:val="20"/>
          <w:szCs w:val="20"/>
          <w:lang w:eastAsia="es-AR"/>
        </w:rPr>
        <w:t>Figura 6: Índices de eficiencia de universidades localizadas en la Región</w:t>
      </w:r>
      <w:r w:rsidR="00316C0F" w:rsidRPr="00F90967">
        <w:rPr>
          <w:rFonts w:cstheme="minorHAnsi"/>
          <w:sz w:val="20"/>
          <w:szCs w:val="20"/>
        </w:rPr>
        <w:t xml:space="preserve"> Noreste</w:t>
      </w:r>
      <w:r w:rsidR="00F90967" w:rsidRPr="00F90967">
        <w:rPr>
          <w:rFonts w:cstheme="minorHAnsi"/>
          <w:sz w:val="20"/>
          <w:szCs w:val="20"/>
        </w:rPr>
        <w:t xml:space="preserve">. </w:t>
      </w:r>
      <w:r w:rsidR="00C16CB6" w:rsidRPr="00F90967">
        <w:rPr>
          <w:rFonts w:cstheme="minorHAnsi"/>
          <w:sz w:val="20"/>
          <w:szCs w:val="20"/>
        </w:rPr>
        <w:t>Fuente: Elaboración propia</w:t>
      </w:r>
    </w:p>
    <w:p w14:paraId="609A0E64" w14:textId="77777777" w:rsidR="000716BD" w:rsidRPr="00F90967" w:rsidRDefault="000716BD" w:rsidP="00F90967">
      <w:pPr>
        <w:spacing w:after="0" w:line="360" w:lineRule="auto"/>
        <w:ind w:firstLine="567"/>
        <w:jc w:val="both"/>
        <w:rPr>
          <w:rFonts w:cstheme="minorHAnsi"/>
          <w:bCs/>
          <w:color w:val="000000" w:themeColor="text1"/>
          <w:u w:val="single"/>
        </w:rPr>
      </w:pPr>
      <w:r w:rsidRPr="00F90967">
        <w:rPr>
          <w:rFonts w:cstheme="minorHAnsi"/>
          <w:bCs/>
          <w:color w:val="000000" w:themeColor="text1"/>
          <w:u w:val="single"/>
        </w:rPr>
        <w:t>Región Cuyo</w:t>
      </w:r>
    </w:p>
    <w:p w14:paraId="165E4662" w14:textId="3BC810A1" w:rsidR="008E2560" w:rsidRPr="00755B91" w:rsidRDefault="008E2560" w:rsidP="00F90967">
      <w:pPr>
        <w:spacing w:after="0" w:line="360" w:lineRule="auto"/>
        <w:ind w:firstLine="567"/>
        <w:jc w:val="both"/>
        <w:rPr>
          <w:rFonts w:cstheme="minorHAnsi"/>
          <w:color w:val="000000" w:themeColor="text1"/>
        </w:rPr>
      </w:pPr>
      <w:r w:rsidRPr="00755B91">
        <w:rPr>
          <w:rFonts w:cstheme="minorHAnsi"/>
          <w:color w:val="000000" w:themeColor="text1"/>
        </w:rPr>
        <w:t>En la Figura</w:t>
      </w:r>
      <w:r w:rsidR="000716BD" w:rsidRPr="00755B91">
        <w:rPr>
          <w:rFonts w:cstheme="minorHAnsi"/>
          <w:color w:val="000000" w:themeColor="text1"/>
        </w:rPr>
        <w:t xml:space="preserve"> 7 se presentan los índices de eficiencia determinados para cada una de las universidades localizadas geográficamente en las provincias de la Región </w:t>
      </w:r>
      <w:r w:rsidRPr="00755B91">
        <w:rPr>
          <w:rFonts w:cstheme="minorHAnsi"/>
          <w:color w:val="000000" w:themeColor="text1"/>
        </w:rPr>
        <w:t>Cuyo</w:t>
      </w:r>
      <w:r w:rsidR="000716BD" w:rsidRPr="00755B91">
        <w:rPr>
          <w:rFonts w:cstheme="minorHAnsi"/>
          <w:color w:val="000000" w:themeColor="text1"/>
        </w:rPr>
        <w:t xml:space="preserve">, comprobándose también que </w:t>
      </w:r>
      <w:r w:rsidR="00316C0F" w:rsidRPr="00755B91">
        <w:rPr>
          <w:rFonts w:cstheme="minorHAnsi"/>
          <w:color w:val="000000" w:themeColor="text1"/>
        </w:rPr>
        <w:t>ninguna de las universidades públicas localizadas en esta región se ubica</w:t>
      </w:r>
      <w:r w:rsidR="000716BD" w:rsidRPr="00755B91">
        <w:rPr>
          <w:rFonts w:cstheme="minorHAnsi"/>
          <w:color w:val="000000" w:themeColor="text1"/>
        </w:rPr>
        <w:t xml:space="preserve"> en la frontera de eficiencia.</w:t>
      </w:r>
    </w:p>
    <w:p w14:paraId="6822C10A" w14:textId="31CDFA47" w:rsidR="002A1FCB" w:rsidRPr="00F90967" w:rsidRDefault="008E2689" w:rsidP="00F90967">
      <w:pPr>
        <w:pStyle w:val="Sinespaciado"/>
        <w:jc w:val="both"/>
        <w:rPr>
          <w:rFonts w:eastAsia="Times New Roman" w:cstheme="minorHAnsi"/>
          <w:sz w:val="20"/>
          <w:szCs w:val="20"/>
          <w:lang w:eastAsia="es-AR"/>
        </w:rPr>
      </w:pPr>
      <w:r w:rsidRPr="00F90967">
        <w:rPr>
          <w:rFonts w:cstheme="minorHAnsi"/>
          <w:noProof/>
          <w:sz w:val="20"/>
          <w:szCs w:val="20"/>
          <w:lang w:eastAsia="es-AR"/>
        </w:rPr>
        <w:drawing>
          <wp:anchor distT="0" distB="0" distL="114300" distR="114300" simplePos="0" relativeHeight="251664384" behindDoc="0" locked="0" layoutInCell="1" allowOverlap="1" wp14:anchorId="3CDBC83F" wp14:editId="05AE09D6">
            <wp:simplePos x="0" y="0"/>
            <wp:positionH relativeFrom="column">
              <wp:posOffset>596265</wp:posOffset>
            </wp:positionH>
            <wp:positionV relativeFrom="paragraph">
              <wp:posOffset>127483</wp:posOffset>
            </wp:positionV>
            <wp:extent cx="990600" cy="1456267"/>
            <wp:effectExtent l="19050" t="19050" r="19050" b="1079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1456267"/>
                    </a:xfrm>
                    <a:prstGeom prst="rect">
                      <a:avLst/>
                    </a:prstGeom>
                    <a:noFill/>
                    <a:ln>
                      <a:solidFill>
                        <a:schemeClr val="tx1"/>
                      </a:solidFill>
                    </a:ln>
                  </pic:spPr>
                </pic:pic>
              </a:graphicData>
            </a:graphic>
          </wp:anchor>
        </w:drawing>
      </w:r>
    </w:p>
    <w:tbl>
      <w:tblPr>
        <w:tblW w:w="5693" w:type="dxa"/>
        <w:tblInd w:w="2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2012"/>
      </w:tblGrid>
      <w:tr w:rsidR="000716BD" w:rsidRPr="00F90967" w14:paraId="78A7DB2B" w14:textId="77777777" w:rsidTr="000A7484">
        <w:trPr>
          <w:trHeight w:hRule="exact" w:val="454"/>
        </w:trPr>
        <w:tc>
          <w:tcPr>
            <w:tcW w:w="3681" w:type="dxa"/>
            <w:shd w:val="clear" w:color="auto" w:fill="00B0F0"/>
            <w:noWrap/>
            <w:vAlign w:val="bottom"/>
            <w:hideMark/>
          </w:tcPr>
          <w:p w14:paraId="18548C34" w14:textId="77777777" w:rsidR="000716BD" w:rsidRPr="00F90967" w:rsidRDefault="000716BD"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 xml:space="preserve">Provincias de la Región </w:t>
            </w:r>
            <w:r w:rsidR="00345B5C" w:rsidRPr="00F90967">
              <w:rPr>
                <w:rFonts w:eastAsia="Times New Roman" w:cstheme="minorHAnsi"/>
                <w:color w:val="000000"/>
                <w:sz w:val="20"/>
                <w:szCs w:val="20"/>
                <w:lang w:eastAsia="es-AR"/>
              </w:rPr>
              <w:t>Cuyo</w:t>
            </w:r>
          </w:p>
        </w:tc>
        <w:tc>
          <w:tcPr>
            <w:tcW w:w="2012" w:type="dxa"/>
            <w:shd w:val="clear" w:color="auto" w:fill="00B0F0"/>
            <w:noWrap/>
            <w:vAlign w:val="bottom"/>
            <w:hideMark/>
          </w:tcPr>
          <w:p w14:paraId="7E936C1F" w14:textId="77777777" w:rsidR="000716BD" w:rsidRPr="00F90967" w:rsidRDefault="000716BD"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Índice de eficiencia</w:t>
            </w:r>
          </w:p>
        </w:tc>
      </w:tr>
      <w:tr w:rsidR="00983379" w:rsidRPr="00F90967" w14:paraId="1BED93A8" w14:textId="77777777" w:rsidTr="000A7484">
        <w:trPr>
          <w:trHeight w:hRule="exact" w:val="454"/>
        </w:trPr>
        <w:tc>
          <w:tcPr>
            <w:tcW w:w="3681" w:type="dxa"/>
            <w:shd w:val="clear" w:color="auto" w:fill="auto"/>
            <w:noWrap/>
            <w:vAlign w:val="bottom"/>
            <w:hideMark/>
          </w:tcPr>
          <w:p w14:paraId="5A8FEED7" w14:textId="77777777" w:rsidR="00983379" w:rsidRPr="00F90967" w:rsidRDefault="00983379"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Cuyo</w:t>
            </w:r>
          </w:p>
        </w:tc>
        <w:tc>
          <w:tcPr>
            <w:tcW w:w="2012" w:type="dxa"/>
            <w:shd w:val="clear" w:color="auto" w:fill="auto"/>
            <w:noWrap/>
            <w:vAlign w:val="bottom"/>
            <w:hideMark/>
          </w:tcPr>
          <w:p w14:paraId="5ECA8F70" w14:textId="77777777" w:rsidR="00983379" w:rsidRPr="00F90967" w:rsidRDefault="00983379"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0,43</w:t>
            </w:r>
          </w:p>
        </w:tc>
      </w:tr>
      <w:tr w:rsidR="00983379" w:rsidRPr="00F90967" w14:paraId="3E73CA2B" w14:textId="77777777" w:rsidTr="000A7484">
        <w:trPr>
          <w:trHeight w:hRule="exact" w:val="454"/>
        </w:trPr>
        <w:tc>
          <w:tcPr>
            <w:tcW w:w="3681" w:type="dxa"/>
            <w:shd w:val="clear" w:color="auto" w:fill="auto"/>
            <w:noWrap/>
            <w:vAlign w:val="bottom"/>
            <w:hideMark/>
          </w:tcPr>
          <w:p w14:paraId="044650F4" w14:textId="77777777" w:rsidR="00983379" w:rsidRPr="00F90967" w:rsidRDefault="00983379"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San Juan</w:t>
            </w:r>
          </w:p>
        </w:tc>
        <w:tc>
          <w:tcPr>
            <w:tcW w:w="2012" w:type="dxa"/>
            <w:shd w:val="clear" w:color="auto" w:fill="auto"/>
            <w:noWrap/>
            <w:vAlign w:val="bottom"/>
            <w:hideMark/>
          </w:tcPr>
          <w:p w14:paraId="189C479B" w14:textId="77777777" w:rsidR="00983379" w:rsidRPr="00F90967" w:rsidRDefault="00983379"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0,21</w:t>
            </w:r>
          </w:p>
        </w:tc>
      </w:tr>
      <w:tr w:rsidR="00983379" w:rsidRPr="00F90967" w14:paraId="2DA08EA5" w14:textId="77777777" w:rsidTr="000A7484">
        <w:trPr>
          <w:trHeight w:hRule="exact" w:val="454"/>
        </w:trPr>
        <w:tc>
          <w:tcPr>
            <w:tcW w:w="3681" w:type="dxa"/>
            <w:shd w:val="clear" w:color="auto" w:fill="auto"/>
            <w:noWrap/>
            <w:vAlign w:val="bottom"/>
            <w:hideMark/>
          </w:tcPr>
          <w:p w14:paraId="7B1FAAAF" w14:textId="77777777" w:rsidR="00983379" w:rsidRPr="00F90967" w:rsidRDefault="00983379"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San Luis</w:t>
            </w:r>
          </w:p>
        </w:tc>
        <w:tc>
          <w:tcPr>
            <w:tcW w:w="2012" w:type="dxa"/>
            <w:shd w:val="clear" w:color="auto" w:fill="auto"/>
            <w:noWrap/>
            <w:vAlign w:val="bottom"/>
            <w:hideMark/>
          </w:tcPr>
          <w:p w14:paraId="08E3FE54" w14:textId="77777777" w:rsidR="00983379" w:rsidRPr="00F90967" w:rsidRDefault="00983379"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0,19</w:t>
            </w:r>
          </w:p>
        </w:tc>
      </w:tr>
      <w:tr w:rsidR="00983379" w:rsidRPr="00F90967" w14:paraId="05CAD7EA" w14:textId="77777777" w:rsidTr="000A7484">
        <w:trPr>
          <w:trHeight w:hRule="exact" w:val="454"/>
        </w:trPr>
        <w:tc>
          <w:tcPr>
            <w:tcW w:w="3681" w:type="dxa"/>
            <w:shd w:val="clear" w:color="auto" w:fill="auto"/>
            <w:noWrap/>
            <w:vAlign w:val="bottom"/>
            <w:hideMark/>
          </w:tcPr>
          <w:p w14:paraId="038D1747" w14:textId="77777777" w:rsidR="00983379" w:rsidRPr="00F90967" w:rsidRDefault="00983379"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Villa Mercedes</w:t>
            </w:r>
          </w:p>
        </w:tc>
        <w:tc>
          <w:tcPr>
            <w:tcW w:w="2012" w:type="dxa"/>
            <w:shd w:val="clear" w:color="auto" w:fill="auto"/>
            <w:noWrap/>
            <w:vAlign w:val="bottom"/>
            <w:hideMark/>
          </w:tcPr>
          <w:p w14:paraId="56C2AF45" w14:textId="77777777" w:rsidR="00983379" w:rsidRPr="00F90967" w:rsidRDefault="00983379" w:rsidP="00F90967">
            <w:pPr>
              <w:spacing w:after="0" w:line="240" w:lineRule="auto"/>
              <w:jc w:val="both"/>
              <w:rPr>
                <w:rFonts w:eastAsia="Times New Roman" w:cstheme="minorHAnsi"/>
                <w:color w:val="000000"/>
                <w:sz w:val="20"/>
                <w:szCs w:val="20"/>
                <w:lang w:eastAsia="es-AR"/>
              </w:rPr>
            </w:pPr>
            <w:r w:rsidRPr="00F90967">
              <w:rPr>
                <w:rFonts w:eastAsia="Times New Roman" w:cstheme="minorHAnsi"/>
                <w:color w:val="000000"/>
                <w:sz w:val="20"/>
                <w:szCs w:val="20"/>
                <w:lang w:eastAsia="es-AR"/>
              </w:rPr>
              <w:t>0,10</w:t>
            </w:r>
          </w:p>
        </w:tc>
      </w:tr>
    </w:tbl>
    <w:p w14:paraId="51C9EA6C" w14:textId="01FB1CF1" w:rsidR="008859F0" w:rsidRPr="00F90967" w:rsidRDefault="00316C0F" w:rsidP="00F90967">
      <w:pPr>
        <w:autoSpaceDE w:val="0"/>
        <w:autoSpaceDN w:val="0"/>
        <w:adjustRightInd w:val="0"/>
        <w:spacing w:after="0" w:line="240" w:lineRule="auto"/>
        <w:jc w:val="both"/>
        <w:rPr>
          <w:rFonts w:cstheme="minorHAnsi"/>
          <w:sz w:val="20"/>
          <w:szCs w:val="20"/>
        </w:rPr>
      </w:pPr>
      <w:r w:rsidRPr="00F90967">
        <w:rPr>
          <w:rFonts w:eastAsia="Times New Roman" w:cstheme="minorHAnsi"/>
          <w:sz w:val="20"/>
          <w:szCs w:val="20"/>
          <w:lang w:eastAsia="es-AR"/>
        </w:rPr>
        <w:t>Figura 7: Índices de eficiencia de universidades localizadas en la Región Cuyo</w:t>
      </w:r>
      <w:r w:rsidR="00F90967">
        <w:rPr>
          <w:rFonts w:eastAsia="Times New Roman" w:cstheme="minorHAnsi"/>
          <w:sz w:val="20"/>
          <w:szCs w:val="20"/>
          <w:lang w:eastAsia="es-AR"/>
        </w:rPr>
        <w:t xml:space="preserve">. </w:t>
      </w:r>
      <w:r w:rsidR="000716BD" w:rsidRPr="00F90967">
        <w:rPr>
          <w:rFonts w:cstheme="minorHAnsi"/>
          <w:sz w:val="20"/>
          <w:szCs w:val="20"/>
        </w:rPr>
        <w:t>Fuente: Elaboración propi</w:t>
      </w:r>
      <w:r w:rsidR="00983379" w:rsidRPr="00F90967">
        <w:rPr>
          <w:rFonts w:cstheme="minorHAnsi"/>
          <w:sz w:val="20"/>
          <w:szCs w:val="20"/>
        </w:rPr>
        <w:t>a</w:t>
      </w:r>
    </w:p>
    <w:p w14:paraId="24FFF546" w14:textId="77777777" w:rsidR="008E2689" w:rsidRPr="00F90967" w:rsidRDefault="008E2689" w:rsidP="00F90967">
      <w:pPr>
        <w:spacing w:after="0" w:line="360" w:lineRule="auto"/>
        <w:ind w:firstLine="567"/>
        <w:jc w:val="both"/>
        <w:rPr>
          <w:rFonts w:cstheme="minorHAnsi"/>
          <w:bCs/>
          <w:color w:val="000000" w:themeColor="text1"/>
          <w:u w:val="single"/>
        </w:rPr>
      </w:pPr>
      <w:r w:rsidRPr="00F90967">
        <w:rPr>
          <w:rFonts w:cstheme="minorHAnsi"/>
          <w:bCs/>
          <w:color w:val="000000" w:themeColor="text1"/>
          <w:u w:val="single"/>
        </w:rPr>
        <w:lastRenderedPageBreak/>
        <w:t>Región Pampeana</w:t>
      </w:r>
    </w:p>
    <w:p w14:paraId="0A7136A1" w14:textId="77777777" w:rsidR="00AF6BB0" w:rsidRPr="00755B91" w:rsidRDefault="00A931FD" w:rsidP="00F90967">
      <w:pPr>
        <w:spacing w:after="0" w:line="360" w:lineRule="auto"/>
        <w:ind w:firstLine="567"/>
        <w:jc w:val="both"/>
        <w:rPr>
          <w:rFonts w:cstheme="minorHAnsi"/>
          <w:color w:val="000000" w:themeColor="text1"/>
        </w:rPr>
      </w:pPr>
      <w:r w:rsidRPr="00755B91">
        <w:rPr>
          <w:rFonts w:cstheme="minorHAnsi"/>
          <w:color w:val="000000" w:themeColor="text1"/>
        </w:rPr>
        <w:t>En la Figura</w:t>
      </w:r>
      <w:r w:rsidR="008E2689" w:rsidRPr="00755B91">
        <w:rPr>
          <w:rFonts w:cstheme="minorHAnsi"/>
          <w:color w:val="000000" w:themeColor="text1"/>
        </w:rPr>
        <w:t xml:space="preserve"> 8 se presentan los índices de eficiencia determinados para cada una de las universidades localizadas geográficamente en las provincias de la Región </w:t>
      </w:r>
      <w:r w:rsidR="00AF6BB0" w:rsidRPr="00755B91">
        <w:rPr>
          <w:rFonts w:cstheme="minorHAnsi"/>
          <w:color w:val="000000" w:themeColor="text1"/>
        </w:rPr>
        <w:t>Pampeana</w:t>
      </w:r>
      <w:r w:rsidR="008E2689" w:rsidRPr="00755B91">
        <w:rPr>
          <w:rFonts w:cstheme="minorHAnsi"/>
          <w:color w:val="000000" w:themeColor="text1"/>
        </w:rPr>
        <w:t xml:space="preserve">, comprobándose que </w:t>
      </w:r>
      <w:r w:rsidR="00AF6BB0" w:rsidRPr="00755B91">
        <w:rPr>
          <w:rFonts w:cstheme="minorHAnsi"/>
          <w:color w:val="000000" w:themeColor="text1"/>
        </w:rPr>
        <w:t xml:space="preserve">en esta región se localizan dos </w:t>
      </w:r>
      <w:r w:rsidR="005D27FF" w:rsidRPr="00755B91">
        <w:rPr>
          <w:rFonts w:cstheme="minorHAnsi"/>
          <w:color w:val="000000" w:themeColor="text1"/>
        </w:rPr>
        <w:t>universidades</w:t>
      </w:r>
      <w:r w:rsidR="00AF6BB0" w:rsidRPr="00755B91">
        <w:rPr>
          <w:rFonts w:cstheme="minorHAnsi"/>
          <w:color w:val="000000" w:themeColor="text1"/>
        </w:rPr>
        <w:t xml:space="preserve"> que </w:t>
      </w:r>
      <w:r w:rsidR="005D27FF" w:rsidRPr="00755B91">
        <w:rPr>
          <w:rFonts w:cstheme="minorHAnsi"/>
          <w:color w:val="000000" w:themeColor="text1"/>
        </w:rPr>
        <w:t>se ubican en la frontera de eficiencia, es decir, tienen un índice de eficiencia igual a 1 (uno). Estas dos universidades son: Universidad Nacional de Buenos aires y Universidad Nacional de Rosario.</w:t>
      </w:r>
    </w:p>
    <w:p w14:paraId="4EC26EDD" w14:textId="45A74513" w:rsidR="00386D3F" w:rsidRPr="000C19CE" w:rsidRDefault="00386D3F" w:rsidP="000C19CE">
      <w:pPr>
        <w:pStyle w:val="Sinespaciado"/>
        <w:jc w:val="both"/>
        <w:rPr>
          <w:rFonts w:eastAsia="Times New Roman" w:cstheme="minorHAnsi"/>
          <w:sz w:val="20"/>
          <w:szCs w:val="20"/>
          <w:lang w:eastAsia="es-AR"/>
        </w:rPr>
      </w:pPr>
      <w:r w:rsidRPr="000C19CE">
        <w:rPr>
          <w:rFonts w:cstheme="minorHAnsi"/>
          <w:noProof/>
          <w:sz w:val="20"/>
          <w:szCs w:val="20"/>
          <w:lang w:eastAsia="es-AR"/>
        </w:rPr>
        <w:drawing>
          <wp:anchor distT="0" distB="0" distL="114300" distR="114300" simplePos="0" relativeHeight="251668480" behindDoc="0" locked="0" layoutInCell="1" allowOverlap="1" wp14:anchorId="040E1FE7" wp14:editId="0DC12D03">
            <wp:simplePos x="0" y="0"/>
            <wp:positionH relativeFrom="column">
              <wp:posOffset>133350</wp:posOffset>
            </wp:positionH>
            <wp:positionV relativeFrom="paragraph">
              <wp:posOffset>356235</wp:posOffset>
            </wp:positionV>
            <wp:extent cx="1518802" cy="2057400"/>
            <wp:effectExtent l="19050" t="19050" r="24765" b="190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8802" cy="2057400"/>
                    </a:xfrm>
                    <a:prstGeom prst="rect">
                      <a:avLst/>
                    </a:prstGeom>
                    <a:noFill/>
                    <a:ln w="9525">
                      <a:solidFill>
                        <a:schemeClr val="tx1"/>
                      </a:solidFill>
                    </a:ln>
                  </pic:spPr>
                </pic:pic>
              </a:graphicData>
            </a:graphic>
          </wp:anchor>
        </w:drawing>
      </w:r>
    </w:p>
    <w:tbl>
      <w:tblPr>
        <w:tblW w:w="5693" w:type="dxa"/>
        <w:tblInd w:w="2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2012"/>
      </w:tblGrid>
      <w:tr w:rsidR="008E2689" w:rsidRPr="000C19CE" w14:paraId="4DA816E5" w14:textId="77777777" w:rsidTr="000A7484">
        <w:trPr>
          <w:trHeight w:hRule="exact" w:val="454"/>
        </w:trPr>
        <w:tc>
          <w:tcPr>
            <w:tcW w:w="3681" w:type="dxa"/>
            <w:shd w:val="clear" w:color="auto" w:fill="00B0F0"/>
            <w:noWrap/>
            <w:vAlign w:val="bottom"/>
            <w:hideMark/>
          </w:tcPr>
          <w:p w14:paraId="4B6031E8" w14:textId="77777777" w:rsidR="008E2689" w:rsidRPr="000C19CE" w:rsidRDefault="008E2689" w:rsidP="000C19CE">
            <w:pPr>
              <w:spacing w:after="0" w:line="240" w:lineRule="auto"/>
              <w:jc w:val="both"/>
              <w:rPr>
                <w:rFonts w:eastAsia="Times New Roman" w:cstheme="minorHAnsi"/>
                <w:b/>
                <w:bCs/>
                <w:color w:val="000000"/>
                <w:sz w:val="20"/>
                <w:szCs w:val="20"/>
                <w:lang w:eastAsia="es-AR"/>
              </w:rPr>
            </w:pPr>
            <w:r w:rsidRPr="000C19CE">
              <w:rPr>
                <w:rFonts w:eastAsia="Times New Roman" w:cstheme="minorHAnsi"/>
                <w:b/>
                <w:bCs/>
                <w:color w:val="000000"/>
                <w:sz w:val="20"/>
                <w:szCs w:val="20"/>
                <w:lang w:eastAsia="es-AR"/>
              </w:rPr>
              <w:t xml:space="preserve">Provincias de la Región </w:t>
            </w:r>
            <w:r w:rsidR="005D27FF" w:rsidRPr="000C19CE">
              <w:rPr>
                <w:rFonts w:eastAsia="Times New Roman" w:cstheme="minorHAnsi"/>
                <w:b/>
                <w:bCs/>
                <w:color w:val="000000"/>
                <w:sz w:val="20"/>
                <w:szCs w:val="20"/>
                <w:lang w:eastAsia="es-AR"/>
              </w:rPr>
              <w:t>Pampeana</w:t>
            </w:r>
          </w:p>
        </w:tc>
        <w:tc>
          <w:tcPr>
            <w:tcW w:w="2012" w:type="dxa"/>
            <w:shd w:val="clear" w:color="auto" w:fill="00B0F0"/>
            <w:noWrap/>
            <w:vAlign w:val="bottom"/>
            <w:hideMark/>
          </w:tcPr>
          <w:p w14:paraId="4467655A" w14:textId="77777777" w:rsidR="008E2689" w:rsidRPr="000C19CE" w:rsidRDefault="008E2689" w:rsidP="000C19CE">
            <w:pPr>
              <w:spacing w:after="0" w:line="240" w:lineRule="auto"/>
              <w:jc w:val="both"/>
              <w:rPr>
                <w:rFonts w:eastAsia="Times New Roman" w:cstheme="minorHAnsi"/>
                <w:b/>
                <w:bCs/>
                <w:color w:val="000000"/>
                <w:sz w:val="20"/>
                <w:szCs w:val="20"/>
                <w:lang w:eastAsia="es-AR"/>
              </w:rPr>
            </w:pPr>
            <w:r w:rsidRPr="000C19CE">
              <w:rPr>
                <w:rFonts w:eastAsia="Times New Roman" w:cstheme="minorHAnsi"/>
                <w:b/>
                <w:bCs/>
                <w:color w:val="000000"/>
                <w:sz w:val="20"/>
                <w:szCs w:val="20"/>
                <w:lang w:eastAsia="es-AR"/>
              </w:rPr>
              <w:t>Índice de eficiencia</w:t>
            </w:r>
          </w:p>
        </w:tc>
      </w:tr>
      <w:tr w:rsidR="00140EE5" w:rsidRPr="000C19CE" w14:paraId="665FA2D7" w14:textId="77777777" w:rsidTr="001C27EF">
        <w:trPr>
          <w:trHeight w:hRule="exact" w:val="454"/>
        </w:trPr>
        <w:tc>
          <w:tcPr>
            <w:tcW w:w="3681" w:type="dxa"/>
            <w:shd w:val="clear" w:color="auto" w:fill="auto"/>
            <w:noWrap/>
            <w:vAlign w:val="bottom"/>
            <w:hideMark/>
          </w:tcPr>
          <w:p w14:paraId="448329EE" w14:textId="77777777" w:rsidR="00140EE5" w:rsidRPr="000C19CE" w:rsidRDefault="00140EE5" w:rsidP="000C19CE">
            <w:pPr>
              <w:spacing w:after="0" w:line="240" w:lineRule="auto"/>
              <w:jc w:val="both"/>
              <w:rPr>
                <w:rFonts w:eastAsia="Times New Roman" w:cstheme="minorHAnsi"/>
                <w:b/>
                <w:sz w:val="20"/>
                <w:szCs w:val="20"/>
                <w:lang w:eastAsia="es-AR"/>
              </w:rPr>
            </w:pPr>
            <w:r w:rsidRPr="000C19CE">
              <w:rPr>
                <w:rFonts w:eastAsia="Times New Roman" w:cstheme="minorHAnsi"/>
                <w:b/>
                <w:sz w:val="20"/>
                <w:szCs w:val="20"/>
                <w:lang w:eastAsia="es-AR"/>
              </w:rPr>
              <w:t>Buenos Aires</w:t>
            </w:r>
          </w:p>
        </w:tc>
        <w:tc>
          <w:tcPr>
            <w:tcW w:w="2012" w:type="dxa"/>
            <w:shd w:val="clear" w:color="auto" w:fill="auto"/>
            <w:noWrap/>
            <w:vAlign w:val="bottom"/>
            <w:hideMark/>
          </w:tcPr>
          <w:p w14:paraId="76EC6806" w14:textId="77777777" w:rsidR="00140EE5" w:rsidRPr="000C19CE" w:rsidRDefault="00140EE5" w:rsidP="000C19CE">
            <w:pPr>
              <w:spacing w:after="0" w:line="240" w:lineRule="auto"/>
              <w:jc w:val="both"/>
              <w:rPr>
                <w:rFonts w:eastAsia="Times New Roman" w:cstheme="minorHAnsi"/>
                <w:b/>
                <w:sz w:val="20"/>
                <w:szCs w:val="20"/>
                <w:lang w:eastAsia="es-AR"/>
              </w:rPr>
            </w:pPr>
            <w:r w:rsidRPr="000C19CE">
              <w:rPr>
                <w:rFonts w:eastAsia="Times New Roman" w:cstheme="minorHAnsi"/>
                <w:b/>
                <w:sz w:val="20"/>
                <w:szCs w:val="20"/>
                <w:lang w:eastAsia="es-AR"/>
              </w:rPr>
              <w:t>1,00</w:t>
            </w:r>
          </w:p>
        </w:tc>
      </w:tr>
      <w:tr w:rsidR="00140EE5" w:rsidRPr="000C19CE" w14:paraId="5B6C5E2D" w14:textId="77777777" w:rsidTr="001C27EF">
        <w:trPr>
          <w:trHeight w:hRule="exact" w:val="454"/>
        </w:trPr>
        <w:tc>
          <w:tcPr>
            <w:tcW w:w="3681" w:type="dxa"/>
            <w:shd w:val="clear" w:color="auto" w:fill="auto"/>
            <w:noWrap/>
            <w:vAlign w:val="bottom"/>
            <w:hideMark/>
          </w:tcPr>
          <w:p w14:paraId="7DF70B43" w14:textId="77777777" w:rsidR="00140EE5" w:rsidRPr="000C19CE" w:rsidRDefault="00140EE5" w:rsidP="000C19CE">
            <w:pPr>
              <w:spacing w:after="0" w:line="240" w:lineRule="auto"/>
              <w:jc w:val="both"/>
              <w:rPr>
                <w:rFonts w:eastAsia="Times New Roman" w:cstheme="minorHAnsi"/>
                <w:b/>
                <w:sz w:val="20"/>
                <w:szCs w:val="20"/>
                <w:lang w:eastAsia="es-AR"/>
              </w:rPr>
            </w:pPr>
            <w:r w:rsidRPr="000C19CE">
              <w:rPr>
                <w:rFonts w:eastAsia="Times New Roman" w:cstheme="minorHAnsi"/>
                <w:b/>
                <w:sz w:val="20"/>
                <w:szCs w:val="20"/>
                <w:lang w:eastAsia="es-AR"/>
              </w:rPr>
              <w:t>Rosario</w:t>
            </w:r>
          </w:p>
        </w:tc>
        <w:tc>
          <w:tcPr>
            <w:tcW w:w="2012" w:type="dxa"/>
            <w:shd w:val="clear" w:color="auto" w:fill="auto"/>
            <w:noWrap/>
            <w:vAlign w:val="bottom"/>
            <w:hideMark/>
          </w:tcPr>
          <w:p w14:paraId="0977FE88" w14:textId="77777777" w:rsidR="00140EE5" w:rsidRPr="000C19CE" w:rsidRDefault="00140EE5" w:rsidP="000C19CE">
            <w:pPr>
              <w:spacing w:after="0" w:line="240" w:lineRule="auto"/>
              <w:jc w:val="both"/>
              <w:rPr>
                <w:rFonts w:eastAsia="Times New Roman" w:cstheme="minorHAnsi"/>
                <w:b/>
                <w:sz w:val="20"/>
                <w:szCs w:val="20"/>
                <w:lang w:eastAsia="es-AR"/>
              </w:rPr>
            </w:pPr>
            <w:r w:rsidRPr="000C19CE">
              <w:rPr>
                <w:rFonts w:eastAsia="Times New Roman" w:cstheme="minorHAnsi"/>
                <w:b/>
                <w:sz w:val="20"/>
                <w:szCs w:val="20"/>
                <w:lang w:eastAsia="es-AR"/>
              </w:rPr>
              <w:t>1,00</w:t>
            </w:r>
          </w:p>
        </w:tc>
      </w:tr>
      <w:tr w:rsidR="00140EE5" w:rsidRPr="000C19CE" w14:paraId="57AF5AEF" w14:textId="77777777" w:rsidTr="001C27EF">
        <w:trPr>
          <w:trHeight w:hRule="exact" w:val="454"/>
        </w:trPr>
        <w:tc>
          <w:tcPr>
            <w:tcW w:w="3681" w:type="dxa"/>
            <w:shd w:val="clear" w:color="auto" w:fill="auto"/>
            <w:noWrap/>
            <w:vAlign w:val="bottom"/>
            <w:hideMark/>
          </w:tcPr>
          <w:p w14:paraId="6765DC15"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Córdoba</w:t>
            </w:r>
          </w:p>
        </w:tc>
        <w:tc>
          <w:tcPr>
            <w:tcW w:w="2012" w:type="dxa"/>
            <w:shd w:val="clear" w:color="auto" w:fill="auto"/>
            <w:noWrap/>
            <w:vAlign w:val="bottom"/>
            <w:hideMark/>
          </w:tcPr>
          <w:p w14:paraId="49B8F582"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0,55</w:t>
            </w:r>
          </w:p>
        </w:tc>
      </w:tr>
      <w:tr w:rsidR="00140EE5" w:rsidRPr="000C19CE" w14:paraId="1A3A8F44" w14:textId="77777777" w:rsidTr="001C27EF">
        <w:trPr>
          <w:trHeight w:hRule="exact" w:val="454"/>
        </w:trPr>
        <w:tc>
          <w:tcPr>
            <w:tcW w:w="3681" w:type="dxa"/>
            <w:shd w:val="clear" w:color="auto" w:fill="auto"/>
            <w:noWrap/>
            <w:vAlign w:val="bottom"/>
            <w:hideMark/>
          </w:tcPr>
          <w:p w14:paraId="7D407370"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La Plata</w:t>
            </w:r>
          </w:p>
        </w:tc>
        <w:tc>
          <w:tcPr>
            <w:tcW w:w="2012" w:type="dxa"/>
            <w:shd w:val="clear" w:color="auto" w:fill="auto"/>
            <w:noWrap/>
            <w:vAlign w:val="bottom"/>
            <w:hideMark/>
          </w:tcPr>
          <w:p w14:paraId="2C99901E"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0,52</w:t>
            </w:r>
          </w:p>
        </w:tc>
      </w:tr>
      <w:tr w:rsidR="00140EE5" w:rsidRPr="000C19CE" w14:paraId="3B92AA5A" w14:textId="77777777" w:rsidTr="001C27EF">
        <w:trPr>
          <w:trHeight w:hRule="exact" w:val="454"/>
        </w:trPr>
        <w:tc>
          <w:tcPr>
            <w:tcW w:w="3681" w:type="dxa"/>
            <w:shd w:val="clear" w:color="auto" w:fill="auto"/>
            <w:noWrap/>
            <w:vAlign w:val="bottom"/>
            <w:hideMark/>
          </w:tcPr>
          <w:p w14:paraId="5396D84D"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Tecnológica Nacional</w:t>
            </w:r>
          </w:p>
        </w:tc>
        <w:tc>
          <w:tcPr>
            <w:tcW w:w="2012" w:type="dxa"/>
            <w:shd w:val="clear" w:color="auto" w:fill="auto"/>
            <w:noWrap/>
            <w:vAlign w:val="bottom"/>
            <w:hideMark/>
          </w:tcPr>
          <w:p w14:paraId="5CF4EF71"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0,5</w:t>
            </w:r>
            <w:r w:rsidR="000145E6" w:rsidRPr="000C19CE">
              <w:rPr>
                <w:rFonts w:eastAsia="Times New Roman" w:cstheme="minorHAnsi"/>
                <w:color w:val="000000"/>
                <w:sz w:val="20"/>
                <w:szCs w:val="20"/>
                <w:lang w:eastAsia="es-AR"/>
              </w:rPr>
              <w:t>0</w:t>
            </w:r>
          </w:p>
        </w:tc>
      </w:tr>
      <w:tr w:rsidR="00140EE5" w:rsidRPr="000C19CE" w14:paraId="3348DE30" w14:textId="77777777" w:rsidTr="001C27EF">
        <w:trPr>
          <w:trHeight w:hRule="exact" w:val="454"/>
        </w:trPr>
        <w:tc>
          <w:tcPr>
            <w:tcW w:w="3681" w:type="dxa"/>
            <w:shd w:val="clear" w:color="auto" w:fill="auto"/>
            <w:noWrap/>
            <w:vAlign w:val="bottom"/>
            <w:hideMark/>
          </w:tcPr>
          <w:p w14:paraId="049E128B"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Lomas de Zamora</w:t>
            </w:r>
          </w:p>
        </w:tc>
        <w:tc>
          <w:tcPr>
            <w:tcW w:w="2012" w:type="dxa"/>
            <w:shd w:val="clear" w:color="auto" w:fill="auto"/>
            <w:noWrap/>
            <w:vAlign w:val="bottom"/>
            <w:hideMark/>
          </w:tcPr>
          <w:p w14:paraId="3F3A1BCA"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0,48</w:t>
            </w:r>
          </w:p>
        </w:tc>
      </w:tr>
      <w:tr w:rsidR="00140EE5" w:rsidRPr="000C19CE" w14:paraId="13E65F53" w14:textId="77777777" w:rsidTr="001C27EF">
        <w:trPr>
          <w:trHeight w:hRule="exact" w:val="454"/>
        </w:trPr>
        <w:tc>
          <w:tcPr>
            <w:tcW w:w="3681" w:type="dxa"/>
            <w:shd w:val="clear" w:color="auto" w:fill="auto"/>
            <w:noWrap/>
            <w:vAlign w:val="bottom"/>
            <w:hideMark/>
          </w:tcPr>
          <w:p w14:paraId="0D80AE0F"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Villa María</w:t>
            </w:r>
          </w:p>
        </w:tc>
        <w:tc>
          <w:tcPr>
            <w:tcW w:w="2012" w:type="dxa"/>
            <w:shd w:val="clear" w:color="auto" w:fill="auto"/>
            <w:noWrap/>
            <w:vAlign w:val="bottom"/>
            <w:hideMark/>
          </w:tcPr>
          <w:p w14:paraId="1CA22807"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0,45</w:t>
            </w:r>
          </w:p>
        </w:tc>
      </w:tr>
      <w:tr w:rsidR="00140EE5" w:rsidRPr="000C19CE" w14:paraId="3BC4FAC2" w14:textId="77777777" w:rsidTr="001C27EF">
        <w:trPr>
          <w:trHeight w:hRule="exact" w:val="454"/>
        </w:trPr>
        <w:tc>
          <w:tcPr>
            <w:tcW w:w="3681" w:type="dxa"/>
            <w:shd w:val="clear" w:color="auto" w:fill="auto"/>
            <w:noWrap/>
            <w:vAlign w:val="bottom"/>
          </w:tcPr>
          <w:p w14:paraId="07E3B146"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San Martín</w:t>
            </w:r>
          </w:p>
        </w:tc>
        <w:tc>
          <w:tcPr>
            <w:tcW w:w="2012" w:type="dxa"/>
            <w:shd w:val="clear" w:color="auto" w:fill="auto"/>
            <w:noWrap/>
            <w:vAlign w:val="bottom"/>
          </w:tcPr>
          <w:p w14:paraId="45146DCC"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0,44</w:t>
            </w:r>
          </w:p>
        </w:tc>
      </w:tr>
      <w:tr w:rsidR="00140EE5" w:rsidRPr="000C19CE" w14:paraId="24A290C6" w14:textId="77777777" w:rsidTr="001C27EF">
        <w:trPr>
          <w:trHeight w:hRule="exact" w:val="454"/>
        </w:trPr>
        <w:tc>
          <w:tcPr>
            <w:tcW w:w="3681" w:type="dxa"/>
            <w:shd w:val="clear" w:color="auto" w:fill="auto"/>
            <w:noWrap/>
            <w:vAlign w:val="bottom"/>
          </w:tcPr>
          <w:p w14:paraId="0ED4C18A"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La Matanza</w:t>
            </w:r>
          </w:p>
        </w:tc>
        <w:tc>
          <w:tcPr>
            <w:tcW w:w="2012" w:type="dxa"/>
            <w:shd w:val="clear" w:color="auto" w:fill="auto"/>
            <w:noWrap/>
            <w:vAlign w:val="bottom"/>
          </w:tcPr>
          <w:p w14:paraId="1311958A"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0,4</w:t>
            </w:r>
            <w:r w:rsidR="000145E6" w:rsidRPr="000C19CE">
              <w:rPr>
                <w:rFonts w:eastAsia="Times New Roman" w:cstheme="minorHAnsi"/>
                <w:color w:val="000000"/>
                <w:sz w:val="20"/>
                <w:szCs w:val="20"/>
                <w:lang w:eastAsia="es-AR"/>
              </w:rPr>
              <w:t>0</w:t>
            </w:r>
          </w:p>
        </w:tc>
      </w:tr>
      <w:tr w:rsidR="00140EE5" w:rsidRPr="000C19CE" w14:paraId="694EDEF8" w14:textId="77777777" w:rsidTr="001C27EF">
        <w:trPr>
          <w:trHeight w:hRule="exact" w:val="454"/>
        </w:trPr>
        <w:tc>
          <w:tcPr>
            <w:tcW w:w="3681" w:type="dxa"/>
            <w:shd w:val="clear" w:color="auto" w:fill="auto"/>
            <w:noWrap/>
            <w:vAlign w:val="bottom"/>
          </w:tcPr>
          <w:p w14:paraId="0B98B3E8"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Lanús</w:t>
            </w:r>
          </w:p>
        </w:tc>
        <w:tc>
          <w:tcPr>
            <w:tcW w:w="2012" w:type="dxa"/>
            <w:shd w:val="clear" w:color="auto" w:fill="auto"/>
            <w:noWrap/>
            <w:vAlign w:val="bottom"/>
          </w:tcPr>
          <w:p w14:paraId="7C3A72B1"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0,39</w:t>
            </w:r>
          </w:p>
        </w:tc>
      </w:tr>
      <w:tr w:rsidR="00140EE5" w:rsidRPr="000C19CE" w14:paraId="4174D090" w14:textId="77777777" w:rsidTr="001C27EF">
        <w:trPr>
          <w:trHeight w:hRule="exact" w:val="454"/>
        </w:trPr>
        <w:tc>
          <w:tcPr>
            <w:tcW w:w="3681" w:type="dxa"/>
            <w:shd w:val="clear" w:color="auto" w:fill="auto"/>
            <w:noWrap/>
            <w:vAlign w:val="bottom"/>
          </w:tcPr>
          <w:p w14:paraId="11CCB4E0"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Centro de la PBA</w:t>
            </w:r>
          </w:p>
        </w:tc>
        <w:tc>
          <w:tcPr>
            <w:tcW w:w="2012" w:type="dxa"/>
            <w:shd w:val="clear" w:color="auto" w:fill="auto"/>
            <w:noWrap/>
            <w:vAlign w:val="bottom"/>
          </w:tcPr>
          <w:p w14:paraId="7543B49D"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0,33</w:t>
            </w:r>
          </w:p>
        </w:tc>
      </w:tr>
      <w:tr w:rsidR="00140EE5" w:rsidRPr="000C19CE" w14:paraId="0CAB5D80" w14:textId="77777777" w:rsidTr="001C27EF">
        <w:trPr>
          <w:trHeight w:hRule="exact" w:val="454"/>
        </w:trPr>
        <w:tc>
          <w:tcPr>
            <w:tcW w:w="3681" w:type="dxa"/>
            <w:shd w:val="clear" w:color="auto" w:fill="auto"/>
            <w:noWrap/>
            <w:vAlign w:val="bottom"/>
          </w:tcPr>
          <w:p w14:paraId="397202F3"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Noroeste de la PBA</w:t>
            </w:r>
          </w:p>
        </w:tc>
        <w:tc>
          <w:tcPr>
            <w:tcW w:w="2012" w:type="dxa"/>
            <w:shd w:val="clear" w:color="auto" w:fill="auto"/>
            <w:noWrap/>
            <w:vAlign w:val="bottom"/>
          </w:tcPr>
          <w:p w14:paraId="65E7E790"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0,31</w:t>
            </w:r>
          </w:p>
        </w:tc>
      </w:tr>
      <w:tr w:rsidR="00140EE5" w:rsidRPr="000C19CE" w14:paraId="019B9D20" w14:textId="77777777" w:rsidTr="001C27EF">
        <w:trPr>
          <w:trHeight w:hRule="exact" w:val="454"/>
        </w:trPr>
        <w:tc>
          <w:tcPr>
            <w:tcW w:w="3681" w:type="dxa"/>
            <w:shd w:val="clear" w:color="auto" w:fill="auto"/>
            <w:noWrap/>
            <w:vAlign w:val="bottom"/>
          </w:tcPr>
          <w:p w14:paraId="252EB757"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Litoral</w:t>
            </w:r>
          </w:p>
        </w:tc>
        <w:tc>
          <w:tcPr>
            <w:tcW w:w="2012" w:type="dxa"/>
            <w:shd w:val="clear" w:color="auto" w:fill="auto"/>
            <w:noWrap/>
            <w:vAlign w:val="bottom"/>
          </w:tcPr>
          <w:p w14:paraId="0C3C5528"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0,3</w:t>
            </w:r>
            <w:r w:rsidR="000145E6" w:rsidRPr="000C19CE">
              <w:rPr>
                <w:rFonts w:eastAsia="Times New Roman" w:cstheme="minorHAnsi"/>
                <w:color w:val="000000"/>
                <w:sz w:val="20"/>
                <w:szCs w:val="20"/>
                <w:lang w:eastAsia="es-AR"/>
              </w:rPr>
              <w:t>0</w:t>
            </w:r>
          </w:p>
        </w:tc>
      </w:tr>
      <w:tr w:rsidR="00140EE5" w:rsidRPr="000C19CE" w14:paraId="68F50179" w14:textId="77777777" w:rsidTr="001C27EF">
        <w:trPr>
          <w:trHeight w:hRule="exact" w:val="454"/>
        </w:trPr>
        <w:tc>
          <w:tcPr>
            <w:tcW w:w="3681" w:type="dxa"/>
            <w:shd w:val="clear" w:color="auto" w:fill="auto"/>
            <w:noWrap/>
            <w:vAlign w:val="bottom"/>
          </w:tcPr>
          <w:p w14:paraId="49E793F0"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Sur</w:t>
            </w:r>
          </w:p>
        </w:tc>
        <w:tc>
          <w:tcPr>
            <w:tcW w:w="2012" w:type="dxa"/>
            <w:shd w:val="clear" w:color="auto" w:fill="auto"/>
            <w:noWrap/>
            <w:vAlign w:val="bottom"/>
          </w:tcPr>
          <w:p w14:paraId="54234AAF"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0,3</w:t>
            </w:r>
            <w:r w:rsidR="000145E6" w:rsidRPr="000C19CE">
              <w:rPr>
                <w:rFonts w:eastAsia="Times New Roman" w:cstheme="minorHAnsi"/>
                <w:color w:val="000000"/>
                <w:sz w:val="20"/>
                <w:szCs w:val="20"/>
                <w:lang w:eastAsia="es-AR"/>
              </w:rPr>
              <w:t>0</w:t>
            </w:r>
          </w:p>
        </w:tc>
      </w:tr>
      <w:tr w:rsidR="00B01C7E" w:rsidRPr="000C19CE" w14:paraId="140D4752" w14:textId="77777777" w:rsidTr="009465F6">
        <w:trPr>
          <w:trHeight w:hRule="exact" w:val="454"/>
        </w:trPr>
        <w:tc>
          <w:tcPr>
            <w:tcW w:w="3681" w:type="dxa"/>
            <w:shd w:val="clear" w:color="auto" w:fill="00B0F0"/>
            <w:noWrap/>
            <w:vAlign w:val="bottom"/>
            <w:hideMark/>
          </w:tcPr>
          <w:p w14:paraId="1A46805C" w14:textId="77777777" w:rsidR="00B01C7E" w:rsidRPr="000C19CE" w:rsidRDefault="00B01C7E" w:rsidP="000C19CE">
            <w:pPr>
              <w:spacing w:after="0" w:line="240" w:lineRule="auto"/>
              <w:jc w:val="both"/>
              <w:rPr>
                <w:rFonts w:eastAsia="Times New Roman" w:cstheme="minorHAnsi"/>
                <w:b/>
                <w:bCs/>
                <w:color w:val="000000"/>
                <w:sz w:val="20"/>
                <w:szCs w:val="20"/>
                <w:lang w:eastAsia="es-AR"/>
              </w:rPr>
            </w:pPr>
            <w:r w:rsidRPr="000C19CE">
              <w:rPr>
                <w:rFonts w:eastAsia="Times New Roman" w:cstheme="minorHAnsi"/>
                <w:b/>
                <w:bCs/>
                <w:color w:val="000000"/>
                <w:sz w:val="20"/>
                <w:szCs w:val="20"/>
                <w:lang w:eastAsia="es-AR"/>
              </w:rPr>
              <w:t>Provincias de la Región Pampeana</w:t>
            </w:r>
          </w:p>
        </w:tc>
        <w:tc>
          <w:tcPr>
            <w:tcW w:w="2012" w:type="dxa"/>
            <w:shd w:val="clear" w:color="auto" w:fill="00B0F0"/>
            <w:noWrap/>
            <w:vAlign w:val="bottom"/>
            <w:hideMark/>
          </w:tcPr>
          <w:p w14:paraId="1DB71780" w14:textId="77777777" w:rsidR="00B01C7E" w:rsidRPr="000C19CE" w:rsidRDefault="00B01C7E" w:rsidP="000C19CE">
            <w:pPr>
              <w:spacing w:after="0" w:line="240" w:lineRule="auto"/>
              <w:jc w:val="both"/>
              <w:rPr>
                <w:rFonts w:eastAsia="Times New Roman" w:cstheme="minorHAnsi"/>
                <w:b/>
                <w:bCs/>
                <w:color w:val="000000"/>
                <w:sz w:val="20"/>
                <w:szCs w:val="20"/>
                <w:lang w:eastAsia="es-AR"/>
              </w:rPr>
            </w:pPr>
            <w:r w:rsidRPr="000C19CE">
              <w:rPr>
                <w:rFonts w:eastAsia="Times New Roman" w:cstheme="minorHAnsi"/>
                <w:b/>
                <w:bCs/>
                <w:color w:val="000000"/>
                <w:sz w:val="20"/>
                <w:szCs w:val="20"/>
                <w:lang w:eastAsia="es-AR"/>
              </w:rPr>
              <w:t>Índice de eficiencia</w:t>
            </w:r>
          </w:p>
        </w:tc>
      </w:tr>
      <w:tr w:rsidR="00140EE5" w:rsidRPr="000C19CE" w14:paraId="5343F877" w14:textId="77777777" w:rsidTr="001C27EF">
        <w:trPr>
          <w:trHeight w:hRule="exact" w:val="454"/>
        </w:trPr>
        <w:tc>
          <w:tcPr>
            <w:tcW w:w="3681" w:type="dxa"/>
            <w:shd w:val="clear" w:color="auto" w:fill="auto"/>
            <w:noWrap/>
            <w:vAlign w:val="bottom"/>
          </w:tcPr>
          <w:p w14:paraId="5C75C2A5" w14:textId="77777777" w:rsidR="00140EE5" w:rsidRPr="000C19CE" w:rsidRDefault="00140EE5" w:rsidP="000C19CE">
            <w:pPr>
              <w:spacing w:after="0" w:line="240" w:lineRule="auto"/>
              <w:jc w:val="both"/>
              <w:rPr>
                <w:rFonts w:eastAsia="Times New Roman" w:cstheme="minorHAnsi"/>
                <w:color w:val="000000"/>
                <w:sz w:val="20"/>
                <w:szCs w:val="20"/>
                <w:lang w:eastAsia="es-AR"/>
              </w:rPr>
            </w:pPr>
            <w:proofErr w:type="spellStart"/>
            <w:r w:rsidRPr="000C19CE">
              <w:rPr>
                <w:rFonts w:eastAsia="Times New Roman" w:cstheme="minorHAnsi"/>
                <w:color w:val="000000"/>
                <w:sz w:val="20"/>
                <w:szCs w:val="20"/>
                <w:lang w:eastAsia="es-AR"/>
              </w:rPr>
              <w:t>Jose</w:t>
            </w:r>
            <w:proofErr w:type="spellEnd"/>
            <w:r w:rsidRPr="000C19CE">
              <w:rPr>
                <w:rFonts w:eastAsia="Times New Roman" w:cstheme="minorHAnsi"/>
                <w:color w:val="000000"/>
                <w:sz w:val="20"/>
                <w:szCs w:val="20"/>
                <w:lang w:eastAsia="es-AR"/>
              </w:rPr>
              <w:t xml:space="preserve"> Clemente Paz</w:t>
            </w:r>
          </w:p>
        </w:tc>
        <w:tc>
          <w:tcPr>
            <w:tcW w:w="2012" w:type="dxa"/>
            <w:shd w:val="clear" w:color="auto" w:fill="auto"/>
            <w:noWrap/>
            <w:vAlign w:val="bottom"/>
          </w:tcPr>
          <w:p w14:paraId="2CB91413"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0,29</w:t>
            </w:r>
          </w:p>
        </w:tc>
      </w:tr>
      <w:tr w:rsidR="00140EE5" w:rsidRPr="000C19CE" w14:paraId="21BAB1FA" w14:textId="77777777" w:rsidTr="001C27EF">
        <w:trPr>
          <w:trHeight w:hRule="exact" w:val="454"/>
        </w:trPr>
        <w:tc>
          <w:tcPr>
            <w:tcW w:w="3681" w:type="dxa"/>
            <w:shd w:val="clear" w:color="auto" w:fill="auto"/>
            <w:noWrap/>
            <w:vAlign w:val="bottom"/>
          </w:tcPr>
          <w:p w14:paraId="719FC5B8"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Mar del Plata</w:t>
            </w:r>
          </w:p>
        </w:tc>
        <w:tc>
          <w:tcPr>
            <w:tcW w:w="2012" w:type="dxa"/>
            <w:shd w:val="clear" w:color="auto" w:fill="auto"/>
            <w:noWrap/>
            <w:vAlign w:val="bottom"/>
          </w:tcPr>
          <w:p w14:paraId="1971118B"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0,29</w:t>
            </w:r>
          </w:p>
        </w:tc>
      </w:tr>
      <w:tr w:rsidR="00140EE5" w:rsidRPr="000C19CE" w14:paraId="2D83C45B" w14:textId="77777777" w:rsidTr="001C27EF">
        <w:trPr>
          <w:trHeight w:hRule="exact" w:val="454"/>
        </w:trPr>
        <w:tc>
          <w:tcPr>
            <w:tcW w:w="3681" w:type="dxa"/>
            <w:shd w:val="clear" w:color="auto" w:fill="auto"/>
            <w:noWrap/>
            <w:vAlign w:val="bottom"/>
          </w:tcPr>
          <w:p w14:paraId="124A8B4E"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Quilmes</w:t>
            </w:r>
          </w:p>
        </w:tc>
        <w:tc>
          <w:tcPr>
            <w:tcW w:w="2012" w:type="dxa"/>
            <w:shd w:val="clear" w:color="auto" w:fill="auto"/>
            <w:noWrap/>
            <w:vAlign w:val="bottom"/>
          </w:tcPr>
          <w:p w14:paraId="50CEEDC0"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0,26</w:t>
            </w:r>
          </w:p>
        </w:tc>
      </w:tr>
      <w:tr w:rsidR="00140EE5" w:rsidRPr="000C19CE" w14:paraId="6037FE62" w14:textId="77777777" w:rsidTr="001C27EF">
        <w:trPr>
          <w:trHeight w:hRule="exact" w:val="454"/>
        </w:trPr>
        <w:tc>
          <w:tcPr>
            <w:tcW w:w="3681" w:type="dxa"/>
            <w:shd w:val="clear" w:color="auto" w:fill="auto"/>
            <w:noWrap/>
            <w:vAlign w:val="bottom"/>
          </w:tcPr>
          <w:p w14:paraId="33109639"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Río Cuarto</w:t>
            </w:r>
          </w:p>
        </w:tc>
        <w:tc>
          <w:tcPr>
            <w:tcW w:w="2012" w:type="dxa"/>
            <w:shd w:val="clear" w:color="auto" w:fill="auto"/>
            <w:noWrap/>
            <w:vAlign w:val="bottom"/>
          </w:tcPr>
          <w:p w14:paraId="1E5FE745"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0,26</w:t>
            </w:r>
          </w:p>
        </w:tc>
      </w:tr>
      <w:tr w:rsidR="00140EE5" w:rsidRPr="000C19CE" w14:paraId="59D7973D" w14:textId="77777777" w:rsidTr="001C27EF">
        <w:trPr>
          <w:trHeight w:hRule="exact" w:val="454"/>
        </w:trPr>
        <w:tc>
          <w:tcPr>
            <w:tcW w:w="3681" w:type="dxa"/>
            <w:shd w:val="clear" w:color="auto" w:fill="auto"/>
            <w:noWrap/>
            <w:vAlign w:val="bottom"/>
          </w:tcPr>
          <w:p w14:paraId="5F26D7E8"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La Pampa</w:t>
            </w:r>
          </w:p>
        </w:tc>
        <w:tc>
          <w:tcPr>
            <w:tcW w:w="2012" w:type="dxa"/>
            <w:shd w:val="clear" w:color="auto" w:fill="auto"/>
            <w:noWrap/>
            <w:vAlign w:val="bottom"/>
          </w:tcPr>
          <w:p w14:paraId="7035C51B"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0,25</w:t>
            </w:r>
          </w:p>
        </w:tc>
      </w:tr>
      <w:tr w:rsidR="00140EE5" w:rsidRPr="000C19CE" w14:paraId="761F58D3" w14:textId="77777777" w:rsidTr="001C27EF">
        <w:trPr>
          <w:trHeight w:hRule="exact" w:val="454"/>
        </w:trPr>
        <w:tc>
          <w:tcPr>
            <w:tcW w:w="3681" w:type="dxa"/>
            <w:shd w:val="clear" w:color="auto" w:fill="auto"/>
            <w:noWrap/>
            <w:vAlign w:val="bottom"/>
          </w:tcPr>
          <w:p w14:paraId="3ED1F7DF"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Lujan</w:t>
            </w:r>
          </w:p>
        </w:tc>
        <w:tc>
          <w:tcPr>
            <w:tcW w:w="2012" w:type="dxa"/>
            <w:shd w:val="clear" w:color="auto" w:fill="auto"/>
            <w:noWrap/>
            <w:vAlign w:val="bottom"/>
          </w:tcPr>
          <w:p w14:paraId="181EF164"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0,19</w:t>
            </w:r>
          </w:p>
        </w:tc>
      </w:tr>
      <w:tr w:rsidR="00140EE5" w:rsidRPr="000C19CE" w14:paraId="23918776" w14:textId="77777777" w:rsidTr="001C27EF">
        <w:trPr>
          <w:trHeight w:hRule="exact" w:val="454"/>
        </w:trPr>
        <w:tc>
          <w:tcPr>
            <w:tcW w:w="3681" w:type="dxa"/>
            <w:shd w:val="clear" w:color="auto" w:fill="auto"/>
            <w:noWrap/>
            <w:vAlign w:val="bottom"/>
          </w:tcPr>
          <w:p w14:paraId="2B9F8C24"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Tres de Febrero</w:t>
            </w:r>
          </w:p>
        </w:tc>
        <w:tc>
          <w:tcPr>
            <w:tcW w:w="2012" w:type="dxa"/>
            <w:shd w:val="clear" w:color="auto" w:fill="auto"/>
            <w:noWrap/>
            <w:vAlign w:val="bottom"/>
          </w:tcPr>
          <w:p w14:paraId="22D013BA"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0,17</w:t>
            </w:r>
          </w:p>
        </w:tc>
      </w:tr>
      <w:tr w:rsidR="00140EE5" w:rsidRPr="000C19CE" w14:paraId="259E1222" w14:textId="77777777" w:rsidTr="001C27EF">
        <w:trPr>
          <w:trHeight w:hRule="exact" w:val="454"/>
        </w:trPr>
        <w:tc>
          <w:tcPr>
            <w:tcW w:w="3681" w:type="dxa"/>
            <w:shd w:val="clear" w:color="auto" w:fill="auto"/>
            <w:noWrap/>
            <w:vAlign w:val="bottom"/>
          </w:tcPr>
          <w:p w14:paraId="210678E2"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Gral. Sarmiento</w:t>
            </w:r>
          </w:p>
        </w:tc>
        <w:tc>
          <w:tcPr>
            <w:tcW w:w="2012" w:type="dxa"/>
            <w:shd w:val="clear" w:color="auto" w:fill="auto"/>
            <w:noWrap/>
            <w:vAlign w:val="bottom"/>
          </w:tcPr>
          <w:p w14:paraId="105846BA"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0,15</w:t>
            </w:r>
          </w:p>
        </w:tc>
      </w:tr>
      <w:tr w:rsidR="00140EE5" w:rsidRPr="000C19CE" w14:paraId="5FF00F10" w14:textId="77777777" w:rsidTr="001C27EF">
        <w:trPr>
          <w:trHeight w:hRule="exact" w:val="454"/>
        </w:trPr>
        <w:tc>
          <w:tcPr>
            <w:tcW w:w="3681" w:type="dxa"/>
            <w:shd w:val="clear" w:color="auto" w:fill="auto"/>
            <w:noWrap/>
            <w:vAlign w:val="bottom"/>
          </w:tcPr>
          <w:p w14:paraId="3C2A5D8C"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Moreno</w:t>
            </w:r>
          </w:p>
        </w:tc>
        <w:tc>
          <w:tcPr>
            <w:tcW w:w="2012" w:type="dxa"/>
            <w:shd w:val="clear" w:color="auto" w:fill="auto"/>
            <w:noWrap/>
            <w:vAlign w:val="bottom"/>
          </w:tcPr>
          <w:p w14:paraId="40538A5E"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0,15</w:t>
            </w:r>
          </w:p>
        </w:tc>
      </w:tr>
      <w:tr w:rsidR="00140EE5" w:rsidRPr="000C19CE" w14:paraId="72D205A2" w14:textId="77777777" w:rsidTr="001C27EF">
        <w:trPr>
          <w:trHeight w:hRule="exact" w:val="454"/>
        </w:trPr>
        <w:tc>
          <w:tcPr>
            <w:tcW w:w="3681" w:type="dxa"/>
            <w:shd w:val="clear" w:color="auto" w:fill="auto"/>
            <w:noWrap/>
            <w:vAlign w:val="bottom"/>
          </w:tcPr>
          <w:p w14:paraId="177ECDA1"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lastRenderedPageBreak/>
              <w:t>Artes</w:t>
            </w:r>
          </w:p>
        </w:tc>
        <w:tc>
          <w:tcPr>
            <w:tcW w:w="2012" w:type="dxa"/>
            <w:shd w:val="clear" w:color="auto" w:fill="auto"/>
            <w:noWrap/>
            <w:vAlign w:val="bottom"/>
          </w:tcPr>
          <w:p w14:paraId="76A353C8"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0,13</w:t>
            </w:r>
          </w:p>
        </w:tc>
      </w:tr>
      <w:tr w:rsidR="00140EE5" w:rsidRPr="000C19CE" w14:paraId="3B735DC4" w14:textId="77777777" w:rsidTr="001C27EF">
        <w:trPr>
          <w:trHeight w:hRule="exact" w:val="454"/>
        </w:trPr>
        <w:tc>
          <w:tcPr>
            <w:tcW w:w="3681" w:type="dxa"/>
            <w:shd w:val="clear" w:color="auto" w:fill="auto"/>
            <w:noWrap/>
            <w:vAlign w:val="bottom"/>
          </w:tcPr>
          <w:p w14:paraId="7E2EF9EE"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Hurlingham</w:t>
            </w:r>
          </w:p>
        </w:tc>
        <w:tc>
          <w:tcPr>
            <w:tcW w:w="2012" w:type="dxa"/>
            <w:shd w:val="clear" w:color="auto" w:fill="auto"/>
            <w:noWrap/>
            <w:vAlign w:val="bottom"/>
          </w:tcPr>
          <w:p w14:paraId="6B3716D2"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0,11</w:t>
            </w:r>
          </w:p>
        </w:tc>
      </w:tr>
      <w:tr w:rsidR="00140EE5" w:rsidRPr="000C19CE" w14:paraId="73C20309" w14:textId="77777777" w:rsidTr="001C27EF">
        <w:trPr>
          <w:trHeight w:hRule="exact" w:val="454"/>
        </w:trPr>
        <w:tc>
          <w:tcPr>
            <w:tcW w:w="3681" w:type="dxa"/>
            <w:shd w:val="clear" w:color="auto" w:fill="auto"/>
            <w:noWrap/>
            <w:vAlign w:val="bottom"/>
          </w:tcPr>
          <w:p w14:paraId="53E0FC32"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Oeste</w:t>
            </w:r>
          </w:p>
        </w:tc>
        <w:tc>
          <w:tcPr>
            <w:tcW w:w="2012" w:type="dxa"/>
            <w:shd w:val="clear" w:color="auto" w:fill="auto"/>
            <w:noWrap/>
            <w:vAlign w:val="bottom"/>
          </w:tcPr>
          <w:p w14:paraId="7937FBC1"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0,08</w:t>
            </w:r>
          </w:p>
        </w:tc>
      </w:tr>
      <w:tr w:rsidR="00140EE5" w:rsidRPr="000C19CE" w14:paraId="4FC5D452" w14:textId="77777777" w:rsidTr="001C27EF">
        <w:trPr>
          <w:trHeight w:hRule="exact" w:val="454"/>
        </w:trPr>
        <w:tc>
          <w:tcPr>
            <w:tcW w:w="3681" w:type="dxa"/>
            <w:shd w:val="clear" w:color="auto" w:fill="auto"/>
            <w:noWrap/>
            <w:vAlign w:val="bottom"/>
          </w:tcPr>
          <w:p w14:paraId="74FB6E12"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Arturo Jauretche</w:t>
            </w:r>
          </w:p>
        </w:tc>
        <w:tc>
          <w:tcPr>
            <w:tcW w:w="2012" w:type="dxa"/>
            <w:shd w:val="clear" w:color="auto" w:fill="auto"/>
            <w:noWrap/>
            <w:vAlign w:val="bottom"/>
          </w:tcPr>
          <w:p w14:paraId="6CBAA7D7"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0,05</w:t>
            </w:r>
          </w:p>
        </w:tc>
      </w:tr>
      <w:tr w:rsidR="00140EE5" w:rsidRPr="000C19CE" w14:paraId="676525A1" w14:textId="77777777" w:rsidTr="001C27EF">
        <w:trPr>
          <w:trHeight w:hRule="exact" w:val="454"/>
        </w:trPr>
        <w:tc>
          <w:tcPr>
            <w:tcW w:w="3681" w:type="dxa"/>
            <w:shd w:val="clear" w:color="auto" w:fill="auto"/>
            <w:noWrap/>
            <w:vAlign w:val="bottom"/>
          </w:tcPr>
          <w:p w14:paraId="736F394F"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Avellaneda</w:t>
            </w:r>
          </w:p>
        </w:tc>
        <w:tc>
          <w:tcPr>
            <w:tcW w:w="2012" w:type="dxa"/>
            <w:shd w:val="clear" w:color="auto" w:fill="auto"/>
            <w:noWrap/>
            <w:vAlign w:val="bottom"/>
          </w:tcPr>
          <w:p w14:paraId="0CF67EA5"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0,03</w:t>
            </w:r>
          </w:p>
        </w:tc>
      </w:tr>
      <w:tr w:rsidR="00140EE5" w:rsidRPr="000C19CE" w14:paraId="71AA2F61" w14:textId="77777777" w:rsidTr="001C27EF">
        <w:trPr>
          <w:trHeight w:hRule="exact" w:val="454"/>
        </w:trPr>
        <w:tc>
          <w:tcPr>
            <w:tcW w:w="3681" w:type="dxa"/>
            <w:shd w:val="clear" w:color="auto" w:fill="auto"/>
            <w:noWrap/>
            <w:vAlign w:val="bottom"/>
          </w:tcPr>
          <w:p w14:paraId="2E617957"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Pedagógica</w:t>
            </w:r>
          </w:p>
        </w:tc>
        <w:tc>
          <w:tcPr>
            <w:tcW w:w="2012" w:type="dxa"/>
            <w:shd w:val="clear" w:color="auto" w:fill="auto"/>
            <w:noWrap/>
            <w:vAlign w:val="bottom"/>
          </w:tcPr>
          <w:p w14:paraId="6C78CF00"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0,03</w:t>
            </w:r>
          </w:p>
        </w:tc>
      </w:tr>
      <w:tr w:rsidR="00140EE5" w:rsidRPr="000C19CE" w14:paraId="022BC126" w14:textId="77777777" w:rsidTr="001C27EF">
        <w:trPr>
          <w:trHeight w:hRule="exact" w:val="454"/>
        </w:trPr>
        <w:tc>
          <w:tcPr>
            <w:tcW w:w="3681" w:type="dxa"/>
            <w:shd w:val="clear" w:color="auto" w:fill="auto"/>
            <w:noWrap/>
            <w:vAlign w:val="bottom"/>
          </w:tcPr>
          <w:p w14:paraId="28E88A29"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San Antonio de Areco</w:t>
            </w:r>
          </w:p>
        </w:tc>
        <w:tc>
          <w:tcPr>
            <w:tcW w:w="2012" w:type="dxa"/>
            <w:shd w:val="clear" w:color="auto" w:fill="auto"/>
            <w:noWrap/>
            <w:vAlign w:val="bottom"/>
          </w:tcPr>
          <w:p w14:paraId="7C090C5A" w14:textId="77777777" w:rsidR="00140EE5" w:rsidRPr="000C19CE" w:rsidRDefault="00140EE5" w:rsidP="000C19CE">
            <w:pPr>
              <w:spacing w:after="0" w:line="240" w:lineRule="auto"/>
              <w:jc w:val="both"/>
              <w:rPr>
                <w:rFonts w:eastAsia="Times New Roman" w:cstheme="minorHAnsi"/>
                <w:color w:val="000000"/>
                <w:sz w:val="20"/>
                <w:szCs w:val="20"/>
                <w:lang w:eastAsia="es-AR"/>
              </w:rPr>
            </w:pPr>
            <w:r w:rsidRPr="000C19CE">
              <w:rPr>
                <w:rFonts w:eastAsia="Times New Roman" w:cstheme="minorHAnsi"/>
                <w:color w:val="000000"/>
                <w:sz w:val="20"/>
                <w:szCs w:val="20"/>
                <w:lang w:eastAsia="es-AR"/>
              </w:rPr>
              <w:t>-</w:t>
            </w:r>
          </w:p>
        </w:tc>
      </w:tr>
    </w:tbl>
    <w:p w14:paraId="639D8A5F" w14:textId="43E8D1E8" w:rsidR="00D47597" w:rsidRPr="000C19CE" w:rsidRDefault="00316C0F" w:rsidP="000C19CE">
      <w:pPr>
        <w:autoSpaceDE w:val="0"/>
        <w:autoSpaceDN w:val="0"/>
        <w:adjustRightInd w:val="0"/>
        <w:spacing w:after="0" w:line="240" w:lineRule="auto"/>
        <w:jc w:val="both"/>
        <w:rPr>
          <w:rFonts w:cstheme="minorHAnsi"/>
          <w:bCs/>
          <w:sz w:val="20"/>
          <w:szCs w:val="20"/>
        </w:rPr>
      </w:pPr>
      <w:r w:rsidRPr="000C19CE">
        <w:rPr>
          <w:rFonts w:eastAsia="Times New Roman" w:cstheme="minorHAnsi"/>
          <w:bCs/>
          <w:sz w:val="20"/>
          <w:szCs w:val="20"/>
          <w:lang w:eastAsia="es-AR"/>
        </w:rPr>
        <w:t>Figura 8: Índices de eficiencia de universidades localizadas en la Región Pampeana</w:t>
      </w:r>
      <w:r w:rsidR="000C19CE" w:rsidRPr="000C19CE">
        <w:rPr>
          <w:rFonts w:eastAsia="Times New Roman" w:cstheme="minorHAnsi"/>
          <w:bCs/>
          <w:sz w:val="20"/>
          <w:szCs w:val="20"/>
          <w:lang w:eastAsia="es-AR"/>
        </w:rPr>
        <w:t xml:space="preserve">. </w:t>
      </w:r>
      <w:r w:rsidR="00D47597" w:rsidRPr="000C19CE">
        <w:rPr>
          <w:rFonts w:cstheme="minorHAnsi"/>
          <w:bCs/>
          <w:sz w:val="20"/>
          <w:szCs w:val="20"/>
        </w:rPr>
        <w:t>Fuente: Elaboración propia</w:t>
      </w:r>
    </w:p>
    <w:p w14:paraId="3A4BFBAE" w14:textId="77777777" w:rsidR="000C19CE" w:rsidRPr="000C19CE" w:rsidRDefault="000C19CE" w:rsidP="00755B91">
      <w:pPr>
        <w:spacing w:after="0" w:line="360" w:lineRule="auto"/>
        <w:jc w:val="both"/>
        <w:rPr>
          <w:rFonts w:cstheme="minorHAnsi"/>
          <w:bCs/>
          <w:color w:val="000000" w:themeColor="text1"/>
          <w:sz w:val="20"/>
          <w:szCs w:val="20"/>
          <w:u w:val="single"/>
        </w:rPr>
      </w:pPr>
    </w:p>
    <w:p w14:paraId="2DD247DD" w14:textId="35CDFC11" w:rsidR="00C06BF7" w:rsidRPr="00F90967" w:rsidRDefault="00C06BF7" w:rsidP="00755B91">
      <w:pPr>
        <w:spacing w:after="0" w:line="360" w:lineRule="auto"/>
        <w:jc w:val="both"/>
        <w:rPr>
          <w:rFonts w:cstheme="minorHAnsi"/>
          <w:bCs/>
          <w:color w:val="000000" w:themeColor="text1"/>
          <w:u w:val="single"/>
        </w:rPr>
      </w:pPr>
      <w:r w:rsidRPr="00F90967">
        <w:rPr>
          <w:rFonts w:cstheme="minorHAnsi"/>
          <w:bCs/>
          <w:color w:val="000000" w:themeColor="text1"/>
          <w:u w:val="single"/>
        </w:rPr>
        <w:t>Región Patagónica</w:t>
      </w:r>
    </w:p>
    <w:p w14:paraId="771BC299" w14:textId="03487585" w:rsidR="00C06BF7" w:rsidRPr="00755B91" w:rsidRDefault="00F11F5B" w:rsidP="00755B91">
      <w:pPr>
        <w:spacing w:after="0" w:line="360" w:lineRule="auto"/>
        <w:jc w:val="both"/>
        <w:rPr>
          <w:rFonts w:cstheme="minorHAnsi"/>
          <w:color w:val="000000" w:themeColor="text1"/>
        </w:rPr>
      </w:pPr>
      <w:r w:rsidRPr="00755B91">
        <w:rPr>
          <w:rFonts w:cstheme="minorHAnsi"/>
          <w:color w:val="000000" w:themeColor="text1"/>
        </w:rPr>
        <w:t xml:space="preserve">En la Figura </w:t>
      </w:r>
      <w:r w:rsidR="00C06BF7" w:rsidRPr="00755B91">
        <w:rPr>
          <w:rFonts w:cstheme="minorHAnsi"/>
          <w:color w:val="000000" w:themeColor="text1"/>
        </w:rPr>
        <w:t xml:space="preserve">9 se presentan los índices de eficiencia determinados para cada una de las universidades localizadas geográficamente en las provincias de la Región </w:t>
      </w:r>
      <w:r w:rsidRPr="00755B91">
        <w:rPr>
          <w:rFonts w:cstheme="minorHAnsi"/>
          <w:color w:val="000000" w:themeColor="text1"/>
        </w:rPr>
        <w:t>Patagónica</w:t>
      </w:r>
      <w:r w:rsidR="00C06BF7" w:rsidRPr="00755B91">
        <w:rPr>
          <w:rFonts w:cstheme="minorHAnsi"/>
          <w:color w:val="000000" w:themeColor="text1"/>
        </w:rPr>
        <w:t xml:space="preserve">, comprobándose que </w:t>
      </w:r>
      <w:r w:rsidR="00316C0F" w:rsidRPr="00755B91">
        <w:rPr>
          <w:rFonts w:cstheme="minorHAnsi"/>
          <w:color w:val="000000" w:themeColor="text1"/>
        </w:rPr>
        <w:t>ninguna de las universidades públicas localizadas en esta región se ubica</w:t>
      </w:r>
      <w:r w:rsidR="00C06BF7" w:rsidRPr="00755B91">
        <w:rPr>
          <w:rFonts w:cstheme="minorHAnsi"/>
          <w:color w:val="000000" w:themeColor="text1"/>
        </w:rPr>
        <w:t xml:space="preserve"> en la frontera de eficiencia.</w:t>
      </w:r>
    </w:p>
    <w:tbl>
      <w:tblPr>
        <w:tblpPr w:leftFromText="141" w:rightFromText="141" w:vertAnchor="text" w:horzAnchor="page" w:tblpX="4298" w:tblpY="97"/>
        <w:tblW w:w="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2012"/>
      </w:tblGrid>
      <w:tr w:rsidR="009C497D" w:rsidRPr="00755B91" w14:paraId="116FEFD1" w14:textId="77777777" w:rsidTr="009C497D">
        <w:trPr>
          <w:trHeight w:hRule="exact" w:val="454"/>
        </w:trPr>
        <w:tc>
          <w:tcPr>
            <w:tcW w:w="3681" w:type="dxa"/>
            <w:shd w:val="clear" w:color="auto" w:fill="00B0F0"/>
            <w:noWrap/>
            <w:vAlign w:val="bottom"/>
            <w:hideMark/>
          </w:tcPr>
          <w:p w14:paraId="5814EE02" w14:textId="77777777" w:rsidR="009C497D" w:rsidRPr="00755B91" w:rsidRDefault="009C497D" w:rsidP="009C497D">
            <w:pPr>
              <w:spacing w:after="0" w:line="360" w:lineRule="auto"/>
              <w:jc w:val="both"/>
              <w:rPr>
                <w:rFonts w:eastAsia="Times New Roman" w:cstheme="minorHAnsi"/>
                <w:b/>
                <w:bCs/>
                <w:color w:val="000000"/>
                <w:lang w:eastAsia="es-AR"/>
              </w:rPr>
            </w:pPr>
            <w:r w:rsidRPr="00755B91">
              <w:rPr>
                <w:rFonts w:eastAsia="Times New Roman" w:cstheme="minorHAnsi"/>
                <w:b/>
                <w:bCs/>
                <w:color w:val="000000"/>
                <w:lang w:eastAsia="es-AR"/>
              </w:rPr>
              <w:t>Provincias de la Región Patagónica</w:t>
            </w:r>
          </w:p>
        </w:tc>
        <w:tc>
          <w:tcPr>
            <w:tcW w:w="2012" w:type="dxa"/>
            <w:shd w:val="clear" w:color="auto" w:fill="00B0F0"/>
            <w:noWrap/>
            <w:vAlign w:val="bottom"/>
            <w:hideMark/>
          </w:tcPr>
          <w:p w14:paraId="35FBA183" w14:textId="77777777" w:rsidR="009C497D" w:rsidRPr="00755B91" w:rsidRDefault="009C497D" w:rsidP="009C497D">
            <w:pPr>
              <w:spacing w:after="0" w:line="360" w:lineRule="auto"/>
              <w:jc w:val="both"/>
              <w:rPr>
                <w:rFonts w:eastAsia="Times New Roman" w:cstheme="minorHAnsi"/>
                <w:b/>
                <w:bCs/>
                <w:color w:val="000000"/>
                <w:lang w:eastAsia="es-AR"/>
              </w:rPr>
            </w:pPr>
            <w:r w:rsidRPr="00755B91">
              <w:rPr>
                <w:rFonts w:eastAsia="Times New Roman" w:cstheme="minorHAnsi"/>
                <w:b/>
                <w:bCs/>
                <w:color w:val="000000"/>
                <w:lang w:eastAsia="es-AR"/>
              </w:rPr>
              <w:t>Índice de eficiencia</w:t>
            </w:r>
          </w:p>
        </w:tc>
      </w:tr>
      <w:tr w:rsidR="009C497D" w:rsidRPr="00755B91" w14:paraId="16D4FE6F" w14:textId="77777777" w:rsidTr="009C497D">
        <w:trPr>
          <w:trHeight w:hRule="exact" w:val="454"/>
        </w:trPr>
        <w:tc>
          <w:tcPr>
            <w:tcW w:w="3681" w:type="dxa"/>
            <w:shd w:val="clear" w:color="auto" w:fill="auto"/>
            <w:noWrap/>
            <w:vAlign w:val="bottom"/>
            <w:hideMark/>
          </w:tcPr>
          <w:p w14:paraId="0E4FD482"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Patagonia San Juan Bosco</w:t>
            </w:r>
          </w:p>
        </w:tc>
        <w:tc>
          <w:tcPr>
            <w:tcW w:w="2012" w:type="dxa"/>
            <w:shd w:val="clear" w:color="auto" w:fill="auto"/>
            <w:noWrap/>
            <w:vAlign w:val="bottom"/>
            <w:hideMark/>
          </w:tcPr>
          <w:p w14:paraId="27983FD1"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0,22</w:t>
            </w:r>
          </w:p>
        </w:tc>
      </w:tr>
      <w:tr w:rsidR="009C497D" w:rsidRPr="00755B91" w14:paraId="486F593A" w14:textId="77777777" w:rsidTr="009C497D">
        <w:trPr>
          <w:trHeight w:hRule="exact" w:val="454"/>
        </w:trPr>
        <w:tc>
          <w:tcPr>
            <w:tcW w:w="3681" w:type="dxa"/>
            <w:shd w:val="clear" w:color="auto" w:fill="auto"/>
            <w:noWrap/>
            <w:vAlign w:val="bottom"/>
            <w:hideMark/>
          </w:tcPr>
          <w:p w14:paraId="0431A312"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Comahue</w:t>
            </w:r>
          </w:p>
        </w:tc>
        <w:tc>
          <w:tcPr>
            <w:tcW w:w="2012" w:type="dxa"/>
            <w:shd w:val="clear" w:color="auto" w:fill="auto"/>
            <w:noWrap/>
            <w:vAlign w:val="bottom"/>
            <w:hideMark/>
          </w:tcPr>
          <w:p w14:paraId="7F49AC99"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0,19</w:t>
            </w:r>
          </w:p>
        </w:tc>
      </w:tr>
      <w:tr w:rsidR="009C497D" w:rsidRPr="00755B91" w14:paraId="6B55EBA5" w14:textId="77777777" w:rsidTr="009C497D">
        <w:trPr>
          <w:trHeight w:hRule="exact" w:val="454"/>
        </w:trPr>
        <w:tc>
          <w:tcPr>
            <w:tcW w:w="3681" w:type="dxa"/>
            <w:shd w:val="clear" w:color="auto" w:fill="auto"/>
            <w:noWrap/>
            <w:vAlign w:val="bottom"/>
            <w:hideMark/>
          </w:tcPr>
          <w:p w14:paraId="72BED26B"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Río Negro</w:t>
            </w:r>
          </w:p>
        </w:tc>
        <w:tc>
          <w:tcPr>
            <w:tcW w:w="2012" w:type="dxa"/>
            <w:shd w:val="clear" w:color="auto" w:fill="auto"/>
            <w:noWrap/>
            <w:vAlign w:val="bottom"/>
            <w:hideMark/>
          </w:tcPr>
          <w:p w14:paraId="1D9B5699"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0,19</w:t>
            </w:r>
          </w:p>
        </w:tc>
      </w:tr>
      <w:tr w:rsidR="009C497D" w:rsidRPr="00755B91" w14:paraId="3C95B0B3" w14:textId="77777777" w:rsidTr="009C497D">
        <w:trPr>
          <w:trHeight w:hRule="exact" w:val="454"/>
        </w:trPr>
        <w:tc>
          <w:tcPr>
            <w:tcW w:w="3681" w:type="dxa"/>
            <w:shd w:val="clear" w:color="auto" w:fill="auto"/>
            <w:noWrap/>
            <w:vAlign w:val="bottom"/>
            <w:hideMark/>
          </w:tcPr>
          <w:p w14:paraId="5A3DFE65"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Patagonia Austral</w:t>
            </w:r>
          </w:p>
        </w:tc>
        <w:tc>
          <w:tcPr>
            <w:tcW w:w="2012" w:type="dxa"/>
            <w:shd w:val="clear" w:color="auto" w:fill="auto"/>
            <w:noWrap/>
            <w:vAlign w:val="bottom"/>
            <w:hideMark/>
          </w:tcPr>
          <w:p w14:paraId="1755406F"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0,10</w:t>
            </w:r>
          </w:p>
        </w:tc>
      </w:tr>
      <w:tr w:rsidR="009C497D" w:rsidRPr="00755B91" w14:paraId="161CC966" w14:textId="77777777" w:rsidTr="009C497D">
        <w:trPr>
          <w:trHeight w:hRule="exact" w:val="717"/>
        </w:trPr>
        <w:tc>
          <w:tcPr>
            <w:tcW w:w="3681" w:type="dxa"/>
            <w:shd w:val="clear" w:color="auto" w:fill="auto"/>
            <w:noWrap/>
            <w:vAlign w:val="bottom"/>
            <w:hideMark/>
          </w:tcPr>
          <w:p w14:paraId="55A89CB7"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Tierra del Fuego</w:t>
            </w:r>
          </w:p>
        </w:tc>
        <w:tc>
          <w:tcPr>
            <w:tcW w:w="2012" w:type="dxa"/>
            <w:shd w:val="clear" w:color="auto" w:fill="auto"/>
            <w:noWrap/>
            <w:vAlign w:val="bottom"/>
            <w:hideMark/>
          </w:tcPr>
          <w:p w14:paraId="40910294" w14:textId="77777777" w:rsidR="009C497D" w:rsidRPr="00755B91" w:rsidRDefault="009C497D" w:rsidP="009C497D">
            <w:pPr>
              <w:spacing w:after="0" w:line="360" w:lineRule="auto"/>
              <w:ind w:firstLineChars="100" w:firstLine="220"/>
              <w:jc w:val="both"/>
              <w:rPr>
                <w:rFonts w:eastAsia="Times New Roman" w:cstheme="minorHAnsi"/>
                <w:color w:val="000000"/>
                <w:lang w:eastAsia="es-AR"/>
              </w:rPr>
            </w:pPr>
            <w:r w:rsidRPr="00755B91">
              <w:rPr>
                <w:rFonts w:eastAsia="Times New Roman" w:cstheme="minorHAnsi"/>
                <w:color w:val="000000"/>
                <w:lang w:eastAsia="es-AR"/>
              </w:rPr>
              <w:t>0,03</w:t>
            </w:r>
          </w:p>
        </w:tc>
      </w:tr>
    </w:tbl>
    <w:p w14:paraId="7F055533" w14:textId="00C6E4CE" w:rsidR="003D0805" w:rsidRPr="00755B91" w:rsidRDefault="009C497D" w:rsidP="00755B91">
      <w:pPr>
        <w:pStyle w:val="Sinespaciado"/>
        <w:spacing w:line="360" w:lineRule="auto"/>
        <w:jc w:val="both"/>
        <w:rPr>
          <w:rFonts w:eastAsia="Times New Roman" w:cstheme="minorHAnsi"/>
          <w:b/>
          <w:lang w:eastAsia="es-AR"/>
        </w:rPr>
      </w:pPr>
      <w:r w:rsidRPr="00755B91">
        <w:rPr>
          <w:rFonts w:cstheme="minorHAnsi"/>
          <w:noProof/>
          <w:lang w:eastAsia="es-AR"/>
        </w:rPr>
        <w:drawing>
          <wp:anchor distT="0" distB="0" distL="114300" distR="114300" simplePos="0" relativeHeight="251670528" behindDoc="0" locked="0" layoutInCell="1" allowOverlap="1" wp14:anchorId="3D7701EF" wp14:editId="31753A09">
            <wp:simplePos x="0" y="0"/>
            <wp:positionH relativeFrom="column">
              <wp:posOffset>742594</wp:posOffset>
            </wp:positionH>
            <wp:positionV relativeFrom="paragraph">
              <wp:posOffset>28499</wp:posOffset>
            </wp:positionV>
            <wp:extent cx="989836" cy="1868271"/>
            <wp:effectExtent l="19050" t="19050" r="20320" b="177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2746" cy="187376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0AA27BD8" w14:textId="38D28F0E" w:rsidR="00C06BF7" w:rsidRPr="00755B91" w:rsidRDefault="00C06BF7" w:rsidP="00755B91">
      <w:pPr>
        <w:pStyle w:val="Sinespaciado"/>
        <w:spacing w:line="360" w:lineRule="auto"/>
        <w:jc w:val="both"/>
        <w:rPr>
          <w:rFonts w:eastAsia="Times New Roman" w:cstheme="minorHAnsi"/>
          <w:lang w:eastAsia="es-AR"/>
        </w:rPr>
      </w:pPr>
      <w:r w:rsidRPr="00755B91">
        <w:rPr>
          <w:rFonts w:eastAsia="Times New Roman" w:cstheme="minorHAnsi"/>
          <w:lang w:eastAsia="es-AR"/>
        </w:rPr>
        <w:t xml:space="preserve"> </w:t>
      </w:r>
    </w:p>
    <w:p w14:paraId="54C05615" w14:textId="77777777" w:rsidR="004D24D6" w:rsidRPr="00755B91" w:rsidRDefault="004D24D6" w:rsidP="00755B91">
      <w:pPr>
        <w:pStyle w:val="Sinespaciado"/>
        <w:spacing w:line="360" w:lineRule="auto"/>
        <w:jc w:val="both"/>
        <w:rPr>
          <w:rFonts w:eastAsia="Times New Roman" w:cstheme="minorHAnsi"/>
          <w:lang w:eastAsia="es-AR"/>
        </w:rPr>
      </w:pPr>
    </w:p>
    <w:p w14:paraId="023C956F" w14:textId="77777777" w:rsidR="00316C0F" w:rsidRPr="00755B91" w:rsidRDefault="00316C0F" w:rsidP="00755B91">
      <w:pPr>
        <w:autoSpaceDE w:val="0"/>
        <w:autoSpaceDN w:val="0"/>
        <w:adjustRightInd w:val="0"/>
        <w:spacing w:after="0" w:line="360" w:lineRule="auto"/>
        <w:jc w:val="both"/>
        <w:rPr>
          <w:rFonts w:eastAsia="Times New Roman" w:cstheme="minorHAnsi"/>
          <w:b/>
          <w:lang w:eastAsia="es-AR"/>
        </w:rPr>
      </w:pPr>
    </w:p>
    <w:p w14:paraId="7739DA2D" w14:textId="77777777" w:rsidR="00316C0F" w:rsidRPr="00755B91" w:rsidRDefault="00316C0F" w:rsidP="00755B91">
      <w:pPr>
        <w:autoSpaceDE w:val="0"/>
        <w:autoSpaceDN w:val="0"/>
        <w:adjustRightInd w:val="0"/>
        <w:spacing w:after="0" w:line="360" w:lineRule="auto"/>
        <w:jc w:val="both"/>
        <w:rPr>
          <w:rFonts w:eastAsia="Times New Roman" w:cstheme="minorHAnsi"/>
          <w:b/>
          <w:lang w:eastAsia="es-AR"/>
        </w:rPr>
      </w:pPr>
    </w:p>
    <w:p w14:paraId="57CC03CC" w14:textId="77777777" w:rsidR="00316C0F" w:rsidRPr="00755B91" w:rsidRDefault="00316C0F" w:rsidP="00755B91">
      <w:pPr>
        <w:autoSpaceDE w:val="0"/>
        <w:autoSpaceDN w:val="0"/>
        <w:adjustRightInd w:val="0"/>
        <w:spacing w:after="0" w:line="360" w:lineRule="auto"/>
        <w:jc w:val="both"/>
        <w:rPr>
          <w:rFonts w:eastAsia="Times New Roman" w:cstheme="minorHAnsi"/>
          <w:b/>
          <w:lang w:eastAsia="es-AR"/>
        </w:rPr>
      </w:pPr>
    </w:p>
    <w:p w14:paraId="3A7FF066" w14:textId="77777777" w:rsidR="00316C0F" w:rsidRPr="00755B91" w:rsidRDefault="00316C0F" w:rsidP="00755B91">
      <w:pPr>
        <w:autoSpaceDE w:val="0"/>
        <w:autoSpaceDN w:val="0"/>
        <w:adjustRightInd w:val="0"/>
        <w:spacing w:after="0" w:line="360" w:lineRule="auto"/>
        <w:jc w:val="both"/>
        <w:rPr>
          <w:rFonts w:eastAsia="Times New Roman" w:cstheme="minorHAnsi"/>
          <w:b/>
          <w:lang w:eastAsia="es-AR"/>
        </w:rPr>
      </w:pPr>
    </w:p>
    <w:p w14:paraId="275EB8D8" w14:textId="77777777" w:rsidR="009C497D" w:rsidRDefault="009C497D" w:rsidP="00755B91">
      <w:pPr>
        <w:autoSpaceDE w:val="0"/>
        <w:autoSpaceDN w:val="0"/>
        <w:adjustRightInd w:val="0"/>
        <w:spacing w:after="0" w:line="360" w:lineRule="auto"/>
        <w:jc w:val="both"/>
        <w:rPr>
          <w:rFonts w:eastAsia="Times New Roman" w:cstheme="minorHAnsi"/>
          <w:bCs/>
          <w:sz w:val="20"/>
          <w:szCs w:val="20"/>
          <w:lang w:eastAsia="es-AR"/>
        </w:rPr>
      </w:pPr>
    </w:p>
    <w:p w14:paraId="71B33B5E" w14:textId="7C49696F" w:rsidR="00C06BF7" w:rsidRPr="009C497D" w:rsidRDefault="00316C0F" w:rsidP="00755B91">
      <w:pPr>
        <w:autoSpaceDE w:val="0"/>
        <w:autoSpaceDN w:val="0"/>
        <w:adjustRightInd w:val="0"/>
        <w:spacing w:after="0" w:line="360" w:lineRule="auto"/>
        <w:jc w:val="both"/>
        <w:rPr>
          <w:rFonts w:cstheme="minorHAnsi"/>
          <w:bCs/>
          <w:sz w:val="20"/>
          <w:szCs w:val="20"/>
        </w:rPr>
      </w:pPr>
      <w:r w:rsidRPr="009C497D">
        <w:rPr>
          <w:rFonts w:eastAsia="Times New Roman" w:cstheme="minorHAnsi"/>
          <w:bCs/>
          <w:sz w:val="20"/>
          <w:szCs w:val="20"/>
          <w:lang w:eastAsia="es-AR"/>
        </w:rPr>
        <w:t>Figura 9: Índices de eficiencia de universidades localizadas en la Región Patagónica</w:t>
      </w:r>
      <w:r w:rsidR="009C497D">
        <w:rPr>
          <w:rFonts w:eastAsia="Times New Roman" w:cstheme="minorHAnsi"/>
          <w:bCs/>
          <w:sz w:val="20"/>
          <w:szCs w:val="20"/>
          <w:lang w:eastAsia="es-AR"/>
        </w:rPr>
        <w:t xml:space="preserve">. </w:t>
      </w:r>
      <w:r w:rsidR="00C06BF7" w:rsidRPr="009C497D">
        <w:rPr>
          <w:rFonts w:cstheme="minorHAnsi"/>
          <w:bCs/>
          <w:sz w:val="20"/>
          <w:szCs w:val="20"/>
        </w:rPr>
        <w:t>Fuente: Elaboración propia</w:t>
      </w:r>
      <w:r w:rsidRPr="009C497D">
        <w:rPr>
          <w:rFonts w:cstheme="minorHAnsi"/>
          <w:bCs/>
          <w:sz w:val="20"/>
          <w:szCs w:val="20"/>
        </w:rPr>
        <w:t>.</w:t>
      </w:r>
    </w:p>
    <w:p w14:paraId="00507EC5" w14:textId="2B1BFB39" w:rsidR="00316C0F" w:rsidRPr="00755B91" w:rsidRDefault="00316C0F" w:rsidP="00755B91">
      <w:pPr>
        <w:autoSpaceDE w:val="0"/>
        <w:autoSpaceDN w:val="0"/>
        <w:adjustRightInd w:val="0"/>
        <w:spacing w:after="0" w:line="360" w:lineRule="auto"/>
        <w:jc w:val="both"/>
        <w:rPr>
          <w:rFonts w:cstheme="minorHAnsi"/>
        </w:rPr>
      </w:pPr>
    </w:p>
    <w:p w14:paraId="6B818143" w14:textId="77777777" w:rsidR="00316C0F" w:rsidRPr="00755B91" w:rsidRDefault="00316C0F" w:rsidP="00755B91">
      <w:pPr>
        <w:autoSpaceDE w:val="0"/>
        <w:autoSpaceDN w:val="0"/>
        <w:adjustRightInd w:val="0"/>
        <w:spacing w:after="0" w:line="360" w:lineRule="auto"/>
        <w:jc w:val="both"/>
        <w:rPr>
          <w:rFonts w:eastAsia="Times New Roman" w:cstheme="minorHAnsi"/>
          <w:lang w:eastAsia="es-AR"/>
        </w:rPr>
      </w:pPr>
    </w:p>
    <w:p w14:paraId="03F979E4" w14:textId="7C49D2CC" w:rsidR="005B28B1" w:rsidRPr="00755B91" w:rsidRDefault="00316C0F" w:rsidP="009C497D">
      <w:pPr>
        <w:spacing w:after="0" w:line="360" w:lineRule="auto"/>
        <w:ind w:firstLine="284"/>
        <w:jc w:val="both"/>
        <w:rPr>
          <w:rFonts w:cstheme="minorHAnsi"/>
          <w:b/>
        </w:rPr>
      </w:pPr>
      <w:r w:rsidRPr="00755B91">
        <w:rPr>
          <w:rFonts w:cstheme="minorHAnsi"/>
          <w:b/>
        </w:rPr>
        <w:t>Ranking de eficiencia en egresados.</w:t>
      </w:r>
      <w:r w:rsidR="00536E98" w:rsidRPr="00755B91">
        <w:rPr>
          <w:rFonts w:cstheme="minorHAnsi"/>
          <w:b/>
        </w:rPr>
        <w:t xml:space="preserve"> </w:t>
      </w:r>
      <w:r w:rsidRPr="00755B91">
        <w:rPr>
          <w:rFonts w:cstheme="minorHAnsi"/>
          <w:b/>
        </w:rPr>
        <w:t>Resultados de las 52 universidades públicas analizadas. Año 201</w:t>
      </w:r>
      <w:r w:rsidR="000854E9" w:rsidRPr="00755B91">
        <w:rPr>
          <w:rFonts w:cstheme="minorHAnsi"/>
          <w:b/>
        </w:rPr>
        <w:t>8</w:t>
      </w:r>
      <w:r w:rsidR="00932898" w:rsidRPr="00755B91">
        <w:rPr>
          <w:rFonts w:cstheme="minorHAnsi"/>
          <w:b/>
        </w:rPr>
        <w:t>.</w:t>
      </w:r>
    </w:p>
    <w:p w14:paraId="04482903" w14:textId="1D0E7DAB" w:rsidR="003454B3" w:rsidRDefault="00A40071" w:rsidP="009C497D">
      <w:pPr>
        <w:spacing w:after="0" w:line="360" w:lineRule="auto"/>
        <w:ind w:firstLine="567"/>
        <w:jc w:val="both"/>
        <w:rPr>
          <w:rFonts w:cstheme="minorHAnsi"/>
        </w:rPr>
      </w:pPr>
      <w:r w:rsidRPr="00755B91">
        <w:rPr>
          <w:rFonts w:cstheme="minorHAnsi"/>
        </w:rPr>
        <w:t>S</w:t>
      </w:r>
      <w:r w:rsidR="008C192C" w:rsidRPr="00755B91">
        <w:rPr>
          <w:rFonts w:cstheme="minorHAnsi"/>
        </w:rPr>
        <w:t xml:space="preserve">e exponen </w:t>
      </w:r>
      <w:r w:rsidR="001A5FC0" w:rsidRPr="00755B91">
        <w:rPr>
          <w:rFonts w:cstheme="minorHAnsi"/>
        </w:rPr>
        <w:t xml:space="preserve">en la Tabla </w:t>
      </w:r>
      <w:r w:rsidR="007E6F97" w:rsidRPr="00755B91">
        <w:rPr>
          <w:rFonts w:cstheme="minorHAnsi"/>
        </w:rPr>
        <w:t>4</w:t>
      </w:r>
      <w:r w:rsidR="001A5FC0" w:rsidRPr="00755B91">
        <w:rPr>
          <w:rFonts w:cstheme="minorHAnsi"/>
        </w:rPr>
        <w:t xml:space="preserve"> </w:t>
      </w:r>
      <w:r w:rsidR="008C192C" w:rsidRPr="00755B91">
        <w:rPr>
          <w:rFonts w:cstheme="minorHAnsi"/>
        </w:rPr>
        <w:t>l</w:t>
      </w:r>
      <w:r w:rsidR="001C71E2" w:rsidRPr="00755B91">
        <w:rPr>
          <w:rFonts w:cstheme="minorHAnsi"/>
        </w:rPr>
        <w:t xml:space="preserve">os resultados del análisis de la eficiencia </w:t>
      </w:r>
      <w:r w:rsidR="004546F7" w:rsidRPr="00755B91">
        <w:rPr>
          <w:rFonts w:cstheme="minorHAnsi"/>
        </w:rPr>
        <w:t xml:space="preserve">de la </w:t>
      </w:r>
      <w:r w:rsidR="00B51682" w:rsidRPr="00755B91">
        <w:rPr>
          <w:rFonts w:cstheme="minorHAnsi"/>
        </w:rPr>
        <w:t xml:space="preserve">ejecución de la </w:t>
      </w:r>
      <w:r w:rsidR="001C71E2" w:rsidRPr="00755B91">
        <w:rPr>
          <w:rFonts w:cstheme="minorHAnsi"/>
        </w:rPr>
        <w:t xml:space="preserve">partida </w:t>
      </w:r>
      <w:r w:rsidR="00B51682" w:rsidRPr="00755B91">
        <w:rPr>
          <w:rFonts w:cstheme="minorHAnsi"/>
        </w:rPr>
        <w:t xml:space="preserve">de </w:t>
      </w:r>
      <w:r w:rsidR="001C71E2" w:rsidRPr="00755B91">
        <w:rPr>
          <w:rFonts w:cstheme="minorHAnsi"/>
        </w:rPr>
        <w:t xml:space="preserve">“Personal” </w:t>
      </w:r>
      <w:r w:rsidR="008C192C" w:rsidRPr="00755B91">
        <w:rPr>
          <w:rFonts w:cstheme="minorHAnsi"/>
        </w:rPr>
        <w:t>mediante la aplicaci</w:t>
      </w:r>
      <w:r w:rsidR="00932898" w:rsidRPr="00755B91">
        <w:rPr>
          <w:rFonts w:cstheme="minorHAnsi"/>
        </w:rPr>
        <w:t>ón del modelo DEA orientado al “</w:t>
      </w:r>
      <w:r w:rsidR="00932898" w:rsidRPr="009C497D">
        <w:rPr>
          <w:rFonts w:cstheme="minorHAnsi"/>
          <w:i/>
          <w:iCs/>
        </w:rPr>
        <w:t>i</w:t>
      </w:r>
      <w:r w:rsidR="008C192C" w:rsidRPr="009C497D">
        <w:rPr>
          <w:rFonts w:cstheme="minorHAnsi"/>
          <w:i/>
          <w:iCs/>
        </w:rPr>
        <w:t>nput</w:t>
      </w:r>
      <w:r w:rsidR="00932898" w:rsidRPr="00755B91">
        <w:rPr>
          <w:rFonts w:cstheme="minorHAnsi"/>
        </w:rPr>
        <w:t>”</w:t>
      </w:r>
      <w:r w:rsidR="008C192C" w:rsidRPr="00755B91">
        <w:rPr>
          <w:rFonts w:cstheme="minorHAnsi"/>
        </w:rPr>
        <w:t xml:space="preserve"> con rendimientos constantes a escala</w:t>
      </w:r>
      <w:r w:rsidR="00DD73F3" w:rsidRPr="00755B91">
        <w:rPr>
          <w:rFonts w:cstheme="minorHAnsi"/>
        </w:rPr>
        <w:t>.</w:t>
      </w:r>
      <w:r w:rsidR="00876F72" w:rsidRPr="00755B91">
        <w:rPr>
          <w:rFonts w:cstheme="minorHAnsi"/>
        </w:rPr>
        <w:t xml:space="preserve"> </w:t>
      </w:r>
      <w:r w:rsidR="008809F5" w:rsidRPr="00755B91">
        <w:rPr>
          <w:rFonts w:cstheme="minorHAnsi"/>
        </w:rPr>
        <w:t xml:space="preserve">Los resultados se obtuvieron mediante el software </w:t>
      </w:r>
      <w:proofErr w:type="spellStart"/>
      <w:r w:rsidR="008809F5" w:rsidRPr="00755B91">
        <w:rPr>
          <w:rFonts w:cstheme="minorHAnsi"/>
        </w:rPr>
        <w:t>Efficiency</w:t>
      </w:r>
      <w:proofErr w:type="spellEnd"/>
      <w:r w:rsidR="008809F5" w:rsidRPr="00755B91">
        <w:rPr>
          <w:rFonts w:cstheme="minorHAnsi"/>
        </w:rPr>
        <w:t xml:space="preserve"> </w:t>
      </w:r>
      <w:proofErr w:type="spellStart"/>
      <w:r w:rsidR="008809F5" w:rsidRPr="00755B91">
        <w:rPr>
          <w:rFonts w:cstheme="minorHAnsi"/>
        </w:rPr>
        <w:t>Measurement</w:t>
      </w:r>
      <w:proofErr w:type="spellEnd"/>
      <w:r w:rsidR="008809F5" w:rsidRPr="00755B91">
        <w:rPr>
          <w:rFonts w:cstheme="minorHAnsi"/>
        </w:rPr>
        <w:t xml:space="preserve"> </w:t>
      </w:r>
      <w:proofErr w:type="spellStart"/>
      <w:r w:rsidR="008809F5" w:rsidRPr="00755B91">
        <w:rPr>
          <w:rFonts w:cstheme="minorHAnsi"/>
        </w:rPr>
        <w:t>System</w:t>
      </w:r>
      <w:proofErr w:type="spellEnd"/>
      <w:r w:rsidR="007B46A7" w:rsidRPr="00755B91">
        <w:rPr>
          <w:rFonts w:cstheme="minorHAnsi"/>
        </w:rPr>
        <w:t xml:space="preserve"> (EMS)</w:t>
      </w:r>
      <w:r w:rsidR="008809F5" w:rsidRPr="00755B91">
        <w:rPr>
          <w:rFonts w:cstheme="minorHAnsi"/>
        </w:rPr>
        <w:t xml:space="preserve"> (</w:t>
      </w:r>
      <w:r w:rsidR="007B46A7" w:rsidRPr="00755B91">
        <w:rPr>
          <w:rFonts w:cstheme="minorHAnsi"/>
        </w:rPr>
        <w:t>V</w:t>
      </w:r>
      <w:r w:rsidR="008809F5" w:rsidRPr="00755B91">
        <w:rPr>
          <w:rFonts w:cstheme="minorHAnsi"/>
        </w:rPr>
        <w:t>ersión 1.3.0</w:t>
      </w:r>
      <w:r w:rsidR="007B46A7" w:rsidRPr="00755B91">
        <w:rPr>
          <w:rFonts w:cstheme="minorHAnsi"/>
        </w:rPr>
        <w:t xml:space="preserve">; Holger </w:t>
      </w:r>
      <w:proofErr w:type="spellStart"/>
      <w:r w:rsidR="007B46A7" w:rsidRPr="00755B91">
        <w:rPr>
          <w:rFonts w:cstheme="minorHAnsi"/>
        </w:rPr>
        <w:t>Scheel</w:t>
      </w:r>
      <w:proofErr w:type="spellEnd"/>
      <w:r w:rsidR="007B46A7" w:rsidRPr="00755B91">
        <w:rPr>
          <w:rFonts w:cstheme="minorHAnsi"/>
        </w:rPr>
        <w:t>: 2000</w:t>
      </w:r>
      <w:r w:rsidR="008809F5" w:rsidRPr="00755B91">
        <w:rPr>
          <w:rFonts w:cstheme="minorHAnsi"/>
        </w:rPr>
        <w:t>).</w:t>
      </w:r>
      <w:r w:rsidR="00391D84" w:rsidRPr="00755B91">
        <w:rPr>
          <w:rFonts w:cstheme="minorHAnsi"/>
        </w:rPr>
        <w:t xml:space="preserve"> </w:t>
      </w:r>
    </w:p>
    <w:p w14:paraId="4FF7C3A4" w14:textId="77777777" w:rsidR="009C497D" w:rsidRPr="00755B91" w:rsidRDefault="009C497D" w:rsidP="009C497D">
      <w:pPr>
        <w:spacing w:after="0" w:line="360" w:lineRule="auto"/>
        <w:ind w:firstLine="567"/>
        <w:jc w:val="both"/>
        <w:rPr>
          <w:rFonts w:cstheme="minorHAnsi"/>
        </w:rPr>
      </w:pPr>
    </w:p>
    <w:tbl>
      <w:tblPr>
        <w:tblW w:w="9012" w:type="dxa"/>
        <w:tblInd w:w="55" w:type="dxa"/>
        <w:tblCellMar>
          <w:left w:w="70" w:type="dxa"/>
          <w:right w:w="70" w:type="dxa"/>
        </w:tblCellMar>
        <w:tblLook w:val="04A0" w:firstRow="1" w:lastRow="0" w:firstColumn="1" w:lastColumn="0" w:noHBand="0" w:noVBand="1"/>
      </w:tblPr>
      <w:tblGrid>
        <w:gridCol w:w="933"/>
        <w:gridCol w:w="3827"/>
        <w:gridCol w:w="2126"/>
        <w:gridCol w:w="2126"/>
      </w:tblGrid>
      <w:tr w:rsidR="00B140C1" w:rsidRPr="009C497D" w14:paraId="50DC787A" w14:textId="77777777" w:rsidTr="00B140C1">
        <w:trPr>
          <w:trHeight w:val="480"/>
        </w:trPr>
        <w:tc>
          <w:tcPr>
            <w:tcW w:w="933"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0E9A3361" w14:textId="77777777" w:rsidR="00B140C1" w:rsidRPr="009C497D" w:rsidRDefault="00B140C1" w:rsidP="009C497D">
            <w:pPr>
              <w:spacing w:after="0" w:line="240" w:lineRule="auto"/>
              <w:jc w:val="both"/>
              <w:rPr>
                <w:rFonts w:eastAsia="Times New Roman" w:cstheme="minorHAnsi"/>
                <w:b/>
                <w:bCs/>
                <w:color w:val="000000"/>
                <w:sz w:val="20"/>
                <w:szCs w:val="20"/>
                <w:lang w:eastAsia="es-AR"/>
              </w:rPr>
            </w:pPr>
            <w:r w:rsidRPr="009C497D">
              <w:rPr>
                <w:rFonts w:cstheme="minorHAnsi"/>
                <w:sz w:val="20"/>
                <w:szCs w:val="20"/>
              </w:rPr>
              <w:br w:type="page"/>
            </w:r>
            <w:r w:rsidRPr="009C497D">
              <w:rPr>
                <w:rFonts w:cstheme="minorHAnsi"/>
                <w:sz w:val="20"/>
                <w:szCs w:val="20"/>
              </w:rPr>
              <w:br w:type="page"/>
            </w:r>
            <w:r w:rsidRPr="009C497D">
              <w:rPr>
                <w:rFonts w:eastAsia="Times New Roman" w:cstheme="minorHAnsi"/>
                <w:b/>
                <w:bCs/>
                <w:color w:val="000000"/>
                <w:sz w:val="20"/>
                <w:szCs w:val="20"/>
                <w:lang w:eastAsia="es-AR"/>
              </w:rPr>
              <w:t>Orden</w:t>
            </w:r>
          </w:p>
        </w:tc>
        <w:tc>
          <w:tcPr>
            <w:tcW w:w="3827" w:type="dxa"/>
            <w:tcBorders>
              <w:top w:val="single" w:sz="4" w:space="0" w:color="auto"/>
              <w:left w:val="nil"/>
              <w:bottom w:val="single" w:sz="4" w:space="0" w:color="auto"/>
              <w:right w:val="single" w:sz="4" w:space="0" w:color="auto"/>
            </w:tcBorders>
            <w:shd w:val="clear" w:color="auto" w:fill="00B0F0"/>
            <w:noWrap/>
            <w:vAlign w:val="center"/>
            <w:hideMark/>
          </w:tcPr>
          <w:p w14:paraId="4CB1DC37" w14:textId="77777777" w:rsidR="00B140C1" w:rsidRPr="009C497D" w:rsidRDefault="00B140C1" w:rsidP="009C497D">
            <w:pPr>
              <w:spacing w:after="0" w:line="240" w:lineRule="auto"/>
              <w:jc w:val="both"/>
              <w:rPr>
                <w:rFonts w:eastAsia="Times New Roman" w:cstheme="minorHAnsi"/>
                <w:b/>
                <w:bCs/>
                <w:color w:val="000000"/>
                <w:sz w:val="20"/>
                <w:szCs w:val="20"/>
                <w:lang w:eastAsia="es-AR"/>
              </w:rPr>
            </w:pPr>
            <w:r w:rsidRPr="009C497D">
              <w:rPr>
                <w:rFonts w:eastAsia="Times New Roman" w:cstheme="minorHAnsi"/>
                <w:b/>
                <w:bCs/>
                <w:color w:val="000000"/>
                <w:sz w:val="20"/>
                <w:szCs w:val="20"/>
                <w:lang w:eastAsia="es-AR"/>
              </w:rPr>
              <w:t>Universidades Nacionales</w:t>
            </w:r>
          </w:p>
        </w:tc>
        <w:tc>
          <w:tcPr>
            <w:tcW w:w="2126" w:type="dxa"/>
            <w:tcBorders>
              <w:top w:val="single" w:sz="4" w:space="0" w:color="auto"/>
              <w:left w:val="nil"/>
              <w:bottom w:val="single" w:sz="4" w:space="0" w:color="auto"/>
              <w:right w:val="single" w:sz="4" w:space="0" w:color="auto"/>
            </w:tcBorders>
            <w:shd w:val="clear" w:color="auto" w:fill="00B0F0"/>
            <w:noWrap/>
            <w:vAlign w:val="bottom"/>
            <w:hideMark/>
          </w:tcPr>
          <w:p w14:paraId="5E5A0ADC" w14:textId="77777777" w:rsidR="00B140C1" w:rsidRPr="009C497D" w:rsidRDefault="00B140C1" w:rsidP="009C497D">
            <w:pPr>
              <w:spacing w:after="0" w:line="240" w:lineRule="auto"/>
              <w:jc w:val="both"/>
              <w:rPr>
                <w:rFonts w:eastAsia="Times New Roman" w:cstheme="minorHAnsi"/>
                <w:b/>
                <w:bCs/>
                <w:color w:val="000000"/>
                <w:sz w:val="20"/>
                <w:szCs w:val="20"/>
                <w:lang w:eastAsia="es-AR"/>
              </w:rPr>
            </w:pPr>
            <w:r w:rsidRPr="009C497D">
              <w:rPr>
                <w:rFonts w:eastAsia="Times New Roman" w:cstheme="minorHAnsi"/>
                <w:b/>
                <w:bCs/>
                <w:color w:val="000000"/>
                <w:sz w:val="20"/>
                <w:szCs w:val="20"/>
                <w:lang w:eastAsia="es-AR"/>
              </w:rPr>
              <w:t>Provincia</w:t>
            </w:r>
          </w:p>
        </w:tc>
        <w:tc>
          <w:tcPr>
            <w:tcW w:w="212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F5F94CE" w14:textId="77777777" w:rsidR="00B140C1" w:rsidRPr="009C497D" w:rsidRDefault="00B140C1" w:rsidP="009C497D">
            <w:pPr>
              <w:spacing w:after="0" w:line="240" w:lineRule="auto"/>
              <w:jc w:val="both"/>
              <w:rPr>
                <w:rFonts w:eastAsia="Times New Roman" w:cstheme="minorHAnsi"/>
                <w:b/>
                <w:bCs/>
                <w:color w:val="000000"/>
                <w:sz w:val="20"/>
                <w:szCs w:val="20"/>
                <w:lang w:eastAsia="es-AR"/>
              </w:rPr>
            </w:pPr>
            <w:r w:rsidRPr="009C497D">
              <w:rPr>
                <w:rFonts w:eastAsia="Times New Roman" w:cstheme="minorHAnsi"/>
                <w:b/>
                <w:bCs/>
                <w:color w:val="000000"/>
                <w:sz w:val="20"/>
                <w:szCs w:val="20"/>
                <w:lang w:eastAsia="es-AR"/>
              </w:rPr>
              <w:t xml:space="preserve"> Índice de Eficiencia </w:t>
            </w:r>
          </w:p>
        </w:tc>
      </w:tr>
      <w:tr w:rsidR="00B140C1" w:rsidRPr="009C497D" w14:paraId="7941CA67"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506D1C3" w14:textId="77777777" w:rsidR="00B140C1" w:rsidRPr="009C497D" w:rsidRDefault="00B140C1" w:rsidP="009C497D">
            <w:pPr>
              <w:spacing w:after="0" w:line="240" w:lineRule="auto"/>
              <w:jc w:val="both"/>
              <w:rPr>
                <w:rFonts w:eastAsia="Times New Roman" w:cstheme="minorHAnsi"/>
                <w:b/>
                <w:color w:val="000000"/>
                <w:sz w:val="20"/>
                <w:szCs w:val="20"/>
                <w:lang w:eastAsia="es-AR"/>
              </w:rPr>
            </w:pPr>
            <w:r w:rsidRPr="009C497D">
              <w:rPr>
                <w:rFonts w:eastAsia="Times New Roman" w:cstheme="minorHAnsi"/>
                <w:b/>
                <w:color w:val="000000"/>
                <w:sz w:val="20"/>
                <w:szCs w:val="20"/>
                <w:lang w:eastAsia="es-AR"/>
              </w:rPr>
              <w:t>1</w:t>
            </w:r>
          </w:p>
        </w:tc>
        <w:tc>
          <w:tcPr>
            <w:tcW w:w="3827" w:type="dxa"/>
            <w:tcBorders>
              <w:top w:val="nil"/>
              <w:left w:val="nil"/>
              <w:bottom w:val="single" w:sz="4" w:space="0" w:color="auto"/>
              <w:right w:val="single" w:sz="4" w:space="0" w:color="auto"/>
            </w:tcBorders>
            <w:shd w:val="clear" w:color="auto" w:fill="auto"/>
            <w:noWrap/>
            <w:vAlign w:val="center"/>
            <w:hideMark/>
          </w:tcPr>
          <w:p w14:paraId="61A9FFD4" w14:textId="77777777" w:rsidR="00B140C1" w:rsidRPr="009C497D" w:rsidRDefault="00B140C1" w:rsidP="009C497D">
            <w:pPr>
              <w:spacing w:after="0" w:line="240" w:lineRule="auto"/>
              <w:jc w:val="both"/>
              <w:rPr>
                <w:rFonts w:eastAsia="Times New Roman" w:cstheme="minorHAnsi"/>
                <w:b/>
                <w:color w:val="000000"/>
                <w:sz w:val="20"/>
                <w:szCs w:val="20"/>
                <w:lang w:eastAsia="es-AR"/>
              </w:rPr>
            </w:pPr>
            <w:r w:rsidRPr="009C497D">
              <w:rPr>
                <w:rFonts w:eastAsia="Times New Roman" w:cstheme="minorHAnsi"/>
                <w:b/>
                <w:color w:val="000000"/>
                <w:sz w:val="20"/>
                <w:szCs w:val="20"/>
                <w:lang w:eastAsia="es-AR"/>
              </w:rPr>
              <w:t>Buenos Aires</w:t>
            </w:r>
          </w:p>
        </w:tc>
        <w:tc>
          <w:tcPr>
            <w:tcW w:w="2126" w:type="dxa"/>
            <w:tcBorders>
              <w:top w:val="nil"/>
              <w:left w:val="nil"/>
              <w:bottom w:val="single" w:sz="4" w:space="0" w:color="auto"/>
              <w:right w:val="single" w:sz="4" w:space="0" w:color="auto"/>
            </w:tcBorders>
            <w:shd w:val="clear" w:color="auto" w:fill="auto"/>
            <w:noWrap/>
            <w:vAlign w:val="center"/>
            <w:hideMark/>
          </w:tcPr>
          <w:p w14:paraId="51C847A0" w14:textId="77777777" w:rsidR="00B140C1" w:rsidRPr="009C497D" w:rsidRDefault="00B140C1" w:rsidP="009C497D">
            <w:pPr>
              <w:spacing w:after="0" w:line="240" w:lineRule="auto"/>
              <w:jc w:val="both"/>
              <w:rPr>
                <w:rFonts w:eastAsia="Times New Roman" w:cstheme="minorHAnsi"/>
                <w:b/>
                <w:color w:val="000000"/>
                <w:sz w:val="20"/>
                <w:szCs w:val="20"/>
                <w:lang w:eastAsia="es-AR"/>
              </w:rPr>
            </w:pPr>
            <w:r w:rsidRPr="009C497D">
              <w:rPr>
                <w:rFonts w:eastAsia="Times New Roman" w:cstheme="minorHAnsi"/>
                <w:b/>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B709647" w14:textId="77777777" w:rsidR="00B140C1" w:rsidRPr="009C497D" w:rsidRDefault="00B140C1" w:rsidP="009C497D">
            <w:pPr>
              <w:spacing w:after="0" w:line="240" w:lineRule="auto"/>
              <w:jc w:val="both"/>
              <w:rPr>
                <w:rFonts w:eastAsia="Times New Roman" w:cstheme="minorHAnsi"/>
                <w:b/>
                <w:color w:val="000000"/>
                <w:sz w:val="20"/>
                <w:szCs w:val="20"/>
                <w:lang w:eastAsia="es-AR"/>
              </w:rPr>
            </w:pPr>
            <w:r w:rsidRPr="009C497D">
              <w:rPr>
                <w:rFonts w:eastAsia="Times New Roman" w:cstheme="minorHAnsi"/>
                <w:b/>
                <w:color w:val="000000"/>
                <w:sz w:val="20"/>
                <w:szCs w:val="20"/>
                <w:lang w:eastAsia="es-AR"/>
              </w:rPr>
              <w:t>1,00</w:t>
            </w:r>
          </w:p>
        </w:tc>
      </w:tr>
      <w:tr w:rsidR="00B140C1" w:rsidRPr="009C497D" w14:paraId="6179E68B"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6BFEBC7D" w14:textId="77777777" w:rsidR="00B140C1" w:rsidRPr="009C497D" w:rsidRDefault="00B140C1" w:rsidP="009C497D">
            <w:pPr>
              <w:spacing w:after="0" w:line="240" w:lineRule="auto"/>
              <w:jc w:val="both"/>
              <w:rPr>
                <w:rFonts w:eastAsia="Times New Roman" w:cstheme="minorHAnsi"/>
                <w:b/>
                <w:color w:val="000000"/>
                <w:sz w:val="20"/>
                <w:szCs w:val="20"/>
                <w:lang w:eastAsia="es-AR"/>
              </w:rPr>
            </w:pPr>
            <w:r w:rsidRPr="009C497D">
              <w:rPr>
                <w:rFonts w:eastAsia="Times New Roman" w:cstheme="minorHAnsi"/>
                <w:b/>
                <w:color w:val="000000"/>
                <w:sz w:val="20"/>
                <w:szCs w:val="20"/>
                <w:lang w:eastAsia="es-AR"/>
              </w:rPr>
              <w:t>2</w:t>
            </w:r>
          </w:p>
        </w:tc>
        <w:tc>
          <w:tcPr>
            <w:tcW w:w="3827" w:type="dxa"/>
            <w:tcBorders>
              <w:top w:val="nil"/>
              <w:left w:val="nil"/>
              <w:bottom w:val="single" w:sz="4" w:space="0" w:color="auto"/>
              <w:right w:val="single" w:sz="4" w:space="0" w:color="auto"/>
            </w:tcBorders>
            <w:shd w:val="clear" w:color="auto" w:fill="auto"/>
            <w:noWrap/>
            <w:vAlign w:val="center"/>
            <w:hideMark/>
          </w:tcPr>
          <w:p w14:paraId="2691F6FB" w14:textId="77777777" w:rsidR="00B140C1" w:rsidRPr="009C497D" w:rsidRDefault="00B140C1" w:rsidP="009C497D">
            <w:pPr>
              <w:spacing w:after="0" w:line="240" w:lineRule="auto"/>
              <w:jc w:val="both"/>
              <w:rPr>
                <w:rFonts w:eastAsia="Times New Roman" w:cstheme="minorHAnsi"/>
                <w:b/>
                <w:color w:val="000000"/>
                <w:sz w:val="20"/>
                <w:szCs w:val="20"/>
                <w:lang w:eastAsia="es-AR"/>
              </w:rPr>
            </w:pPr>
            <w:r w:rsidRPr="009C497D">
              <w:rPr>
                <w:rFonts w:eastAsia="Times New Roman" w:cstheme="minorHAnsi"/>
                <w:b/>
                <w:color w:val="000000"/>
                <w:sz w:val="20"/>
                <w:szCs w:val="20"/>
                <w:lang w:eastAsia="es-AR"/>
              </w:rPr>
              <w:t>Rosario</w:t>
            </w:r>
          </w:p>
        </w:tc>
        <w:tc>
          <w:tcPr>
            <w:tcW w:w="2126" w:type="dxa"/>
            <w:tcBorders>
              <w:top w:val="nil"/>
              <w:left w:val="nil"/>
              <w:bottom w:val="single" w:sz="4" w:space="0" w:color="auto"/>
              <w:right w:val="single" w:sz="4" w:space="0" w:color="auto"/>
            </w:tcBorders>
            <w:shd w:val="clear" w:color="auto" w:fill="auto"/>
            <w:noWrap/>
            <w:vAlign w:val="center"/>
            <w:hideMark/>
          </w:tcPr>
          <w:p w14:paraId="48BCC07E" w14:textId="77777777" w:rsidR="00B140C1" w:rsidRPr="009C497D" w:rsidRDefault="00B140C1" w:rsidP="009C497D">
            <w:pPr>
              <w:spacing w:after="0" w:line="240" w:lineRule="auto"/>
              <w:jc w:val="both"/>
              <w:rPr>
                <w:rFonts w:eastAsia="Times New Roman" w:cstheme="minorHAnsi"/>
                <w:b/>
                <w:color w:val="000000"/>
                <w:sz w:val="20"/>
                <w:szCs w:val="20"/>
                <w:lang w:eastAsia="es-AR"/>
              </w:rPr>
            </w:pPr>
            <w:r w:rsidRPr="009C497D">
              <w:rPr>
                <w:rFonts w:eastAsia="Times New Roman" w:cstheme="minorHAnsi"/>
                <w:b/>
                <w:color w:val="000000"/>
                <w:sz w:val="20"/>
                <w:szCs w:val="20"/>
                <w:lang w:eastAsia="es-AR"/>
              </w:rPr>
              <w:t>Santa Fe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C317C4A" w14:textId="77777777" w:rsidR="00B140C1" w:rsidRPr="009C497D" w:rsidRDefault="00B140C1" w:rsidP="009C497D">
            <w:pPr>
              <w:spacing w:after="0" w:line="240" w:lineRule="auto"/>
              <w:jc w:val="both"/>
              <w:rPr>
                <w:rFonts w:eastAsia="Times New Roman" w:cstheme="minorHAnsi"/>
                <w:b/>
                <w:color w:val="000000"/>
                <w:sz w:val="20"/>
                <w:szCs w:val="20"/>
                <w:lang w:eastAsia="es-AR"/>
              </w:rPr>
            </w:pPr>
            <w:r w:rsidRPr="009C497D">
              <w:rPr>
                <w:rFonts w:eastAsia="Times New Roman" w:cstheme="minorHAnsi"/>
                <w:b/>
                <w:color w:val="000000"/>
                <w:sz w:val="20"/>
                <w:szCs w:val="20"/>
                <w:lang w:eastAsia="es-AR"/>
              </w:rPr>
              <w:t>1,00</w:t>
            </w:r>
          </w:p>
        </w:tc>
      </w:tr>
      <w:tr w:rsidR="00B140C1" w:rsidRPr="009C497D" w14:paraId="39636BF8"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C8E3D2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w:t>
            </w:r>
          </w:p>
        </w:tc>
        <w:tc>
          <w:tcPr>
            <w:tcW w:w="3827" w:type="dxa"/>
            <w:tcBorders>
              <w:top w:val="nil"/>
              <w:left w:val="nil"/>
              <w:bottom w:val="single" w:sz="4" w:space="0" w:color="auto"/>
              <w:right w:val="single" w:sz="4" w:space="0" w:color="auto"/>
            </w:tcBorders>
            <w:shd w:val="clear" w:color="auto" w:fill="auto"/>
            <w:noWrap/>
            <w:vAlign w:val="center"/>
            <w:hideMark/>
          </w:tcPr>
          <w:p w14:paraId="17CD1F7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Córdoba</w:t>
            </w:r>
          </w:p>
        </w:tc>
        <w:tc>
          <w:tcPr>
            <w:tcW w:w="2126" w:type="dxa"/>
            <w:tcBorders>
              <w:top w:val="nil"/>
              <w:left w:val="nil"/>
              <w:bottom w:val="single" w:sz="4" w:space="0" w:color="auto"/>
              <w:right w:val="single" w:sz="4" w:space="0" w:color="auto"/>
            </w:tcBorders>
            <w:shd w:val="clear" w:color="auto" w:fill="auto"/>
            <w:noWrap/>
            <w:vAlign w:val="center"/>
            <w:hideMark/>
          </w:tcPr>
          <w:p w14:paraId="333DF73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Córdoba</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B410B8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0,55</w:t>
            </w:r>
          </w:p>
        </w:tc>
      </w:tr>
      <w:tr w:rsidR="00B140C1" w:rsidRPr="009C497D" w14:paraId="294A52A3"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631D8B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lastRenderedPageBreak/>
              <w:t>4</w:t>
            </w:r>
          </w:p>
        </w:tc>
        <w:tc>
          <w:tcPr>
            <w:tcW w:w="3827" w:type="dxa"/>
            <w:tcBorders>
              <w:top w:val="nil"/>
              <w:left w:val="nil"/>
              <w:bottom w:val="single" w:sz="4" w:space="0" w:color="auto"/>
              <w:right w:val="single" w:sz="4" w:space="0" w:color="auto"/>
            </w:tcBorders>
            <w:shd w:val="clear" w:color="auto" w:fill="auto"/>
            <w:noWrap/>
            <w:vAlign w:val="center"/>
            <w:hideMark/>
          </w:tcPr>
          <w:p w14:paraId="3154CE1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La Plata</w:t>
            </w:r>
          </w:p>
        </w:tc>
        <w:tc>
          <w:tcPr>
            <w:tcW w:w="2126" w:type="dxa"/>
            <w:tcBorders>
              <w:top w:val="nil"/>
              <w:left w:val="nil"/>
              <w:bottom w:val="single" w:sz="4" w:space="0" w:color="auto"/>
              <w:right w:val="single" w:sz="4" w:space="0" w:color="auto"/>
            </w:tcBorders>
            <w:shd w:val="clear" w:color="auto" w:fill="auto"/>
            <w:noWrap/>
            <w:vAlign w:val="center"/>
            <w:hideMark/>
          </w:tcPr>
          <w:p w14:paraId="1D72EC6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CE3C6B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0,52</w:t>
            </w:r>
          </w:p>
        </w:tc>
      </w:tr>
      <w:tr w:rsidR="00B140C1" w:rsidRPr="009C497D" w14:paraId="60F86AB8"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235104F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5</w:t>
            </w:r>
          </w:p>
        </w:tc>
        <w:tc>
          <w:tcPr>
            <w:tcW w:w="3827" w:type="dxa"/>
            <w:tcBorders>
              <w:top w:val="nil"/>
              <w:left w:val="nil"/>
              <w:bottom w:val="single" w:sz="4" w:space="0" w:color="auto"/>
              <w:right w:val="single" w:sz="4" w:space="0" w:color="auto"/>
            </w:tcBorders>
            <w:shd w:val="clear" w:color="auto" w:fill="auto"/>
            <w:noWrap/>
            <w:vAlign w:val="center"/>
            <w:hideMark/>
          </w:tcPr>
          <w:p w14:paraId="76394C94"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Tecnológica Nacional</w:t>
            </w:r>
          </w:p>
        </w:tc>
        <w:tc>
          <w:tcPr>
            <w:tcW w:w="2126" w:type="dxa"/>
            <w:tcBorders>
              <w:top w:val="nil"/>
              <w:left w:val="nil"/>
              <w:bottom w:val="single" w:sz="4" w:space="0" w:color="auto"/>
              <w:right w:val="single" w:sz="4" w:space="0" w:color="auto"/>
            </w:tcBorders>
            <w:shd w:val="clear" w:color="auto" w:fill="auto"/>
            <w:noWrap/>
            <w:vAlign w:val="center"/>
            <w:hideMark/>
          </w:tcPr>
          <w:p w14:paraId="0F3BAE7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FA1103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0,50</w:t>
            </w:r>
          </w:p>
        </w:tc>
      </w:tr>
      <w:tr w:rsidR="00B140C1" w:rsidRPr="009C497D" w14:paraId="32F40EB6"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522F32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6</w:t>
            </w:r>
          </w:p>
        </w:tc>
        <w:tc>
          <w:tcPr>
            <w:tcW w:w="3827" w:type="dxa"/>
            <w:tcBorders>
              <w:top w:val="nil"/>
              <w:left w:val="nil"/>
              <w:bottom w:val="single" w:sz="4" w:space="0" w:color="auto"/>
              <w:right w:val="single" w:sz="4" w:space="0" w:color="auto"/>
            </w:tcBorders>
            <w:shd w:val="clear" w:color="auto" w:fill="auto"/>
            <w:noWrap/>
            <w:vAlign w:val="center"/>
            <w:hideMark/>
          </w:tcPr>
          <w:p w14:paraId="18D7F97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Lomas de Zamora</w:t>
            </w:r>
          </w:p>
        </w:tc>
        <w:tc>
          <w:tcPr>
            <w:tcW w:w="2126" w:type="dxa"/>
            <w:tcBorders>
              <w:top w:val="nil"/>
              <w:left w:val="nil"/>
              <w:bottom w:val="single" w:sz="4" w:space="0" w:color="auto"/>
              <w:right w:val="single" w:sz="4" w:space="0" w:color="auto"/>
            </w:tcBorders>
            <w:shd w:val="clear" w:color="auto" w:fill="auto"/>
            <w:noWrap/>
            <w:vAlign w:val="center"/>
            <w:hideMark/>
          </w:tcPr>
          <w:p w14:paraId="308AF8B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E74692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0,48</w:t>
            </w:r>
          </w:p>
        </w:tc>
      </w:tr>
      <w:tr w:rsidR="00B140C1" w:rsidRPr="009C497D" w14:paraId="012DB4BB"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7E51F67"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7</w:t>
            </w:r>
          </w:p>
        </w:tc>
        <w:tc>
          <w:tcPr>
            <w:tcW w:w="3827" w:type="dxa"/>
            <w:tcBorders>
              <w:top w:val="nil"/>
              <w:left w:val="nil"/>
              <w:bottom w:val="single" w:sz="4" w:space="0" w:color="auto"/>
              <w:right w:val="single" w:sz="4" w:space="0" w:color="auto"/>
            </w:tcBorders>
            <w:shd w:val="clear" w:color="auto" w:fill="auto"/>
            <w:noWrap/>
            <w:vAlign w:val="center"/>
            <w:hideMark/>
          </w:tcPr>
          <w:p w14:paraId="0BF2909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Villa María</w:t>
            </w:r>
          </w:p>
        </w:tc>
        <w:tc>
          <w:tcPr>
            <w:tcW w:w="2126" w:type="dxa"/>
            <w:tcBorders>
              <w:top w:val="nil"/>
              <w:left w:val="nil"/>
              <w:bottom w:val="single" w:sz="4" w:space="0" w:color="auto"/>
              <w:right w:val="single" w:sz="4" w:space="0" w:color="auto"/>
            </w:tcBorders>
            <w:shd w:val="clear" w:color="auto" w:fill="auto"/>
            <w:noWrap/>
            <w:vAlign w:val="center"/>
            <w:hideMark/>
          </w:tcPr>
          <w:p w14:paraId="73A24A2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Córdoba</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403645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0,45</w:t>
            </w:r>
          </w:p>
        </w:tc>
      </w:tr>
      <w:tr w:rsidR="00B140C1" w:rsidRPr="009C497D" w14:paraId="0E692642"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17B09D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8</w:t>
            </w:r>
          </w:p>
        </w:tc>
        <w:tc>
          <w:tcPr>
            <w:tcW w:w="3827" w:type="dxa"/>
            <w:tcBorders>
              <w:top w:val="nil"/>
              <w:left w:val="nil"/>
              <w:bottom w:val="single" w:sz="4" w:space="0" w:color="auto"/>
              <w:right w:val="single" w:sz="4" w:space="0" w:color="auto"/>
            </w:tcBorders>
            <w:shd w:val="clear" w:color="auto" w:fill="auto"/>
            <w:noWrap/>
            <w:vAlign w:val="center"/>
            <w:hideMark/>
          </w:tcPr>
          <w:p w14:paraId="7835D89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Nordeste</w:t>
            </w:r>
          </w:p>
        </w:tc>
        <w:tc>
          <w:tcPr>
            <w:tcW w:w="2126" w:type="dxa"/>
            <w:tcBorders>
              <w:top w:val="nil"/>
              <w:left w:val="nil"/>
              <w:bottom w:val="single" w:sz="4" w:space="0" w:color="auto"/>
              <w:right w:val="single" w:sz="4" w:space="0" w:color="auto"/>
            </w:tcBorders>
            <w:shd w:val="clear" w:color="auto" w:fill="auto"/>
            <w:noWrap/>
            <w:vAlign w:val="center"/>
            <w:hideMark/>
          </w:tcPr>
          <w:p w14:paraId="44C23F5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Corrientes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B03DE04"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0,44</w:t>
            </w:r>
          </w:p>
        </w:tc>
      </w:tr>
      <w:tr w:rsidR="00B140C1" w:rsidRPr="009C497D" w14:paraId="68DD7E08"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72ED6D8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9</w:t>
            </w:r>
          </w:p>
        </w:tc>
        <w:tc>
          <w:tcPr>
            <w:tcW w:w="3827" w:type="dxa"/>
            <w:tcBorders>
              <w:top w:val="nil"/>
              <w:left w:val="nil"/>
              <w:bottom w:val="single" w:sz="4" w:space="0" w:color="auto"/>
              <w:right w:val="single" w:sz="4" w:space="0" w:color="auto"/>
            </w:tcBorders>
            <w:shd w:val="clear" w:color="auto" w:fill="auto"/>
            <w:noWrap/>
            <w:vAlign w:val="center"/>
            <w:hideMark/>
          </w:tcPr>
          <w:p w14:paraId="199056D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 Martín</w:t>
            </w:r>
          </w:p>
        </w:tc>
        <w:tc>
          <w:tcPr>
            <w:tcW w:w="2126" w:type="dxa"/>
            <w:tcBorders>
              <w:top w:val="nil"/>
              <w:left w:val="nil"/>
              <w:bottom w:val="single" w:sz="4" w:space="0" w:color="auto"/>
              <w:right w:val="single" w:sz="4" w:space="0" w:color="auto"/>
            </w:tcBorders>
            <w:shd w:val="clear" w:color="auto" w:fill="auto"/>
            <w:noWrap/>
            <w:vAlign w:val="center"/>
            <w:hideMark/>
          </w:tcPr>
          <w:p w14:paraId="5160854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EE66C8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0,44</w:t>
            </w:r>
          </w:p>
        </w:tc>
      </w:tr>
      <w:tr w:rsidR="00B140C1" w:rsidRPr="009C497D" w14:paraId="44BC32E1"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438EBC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10</w:t>
            </w:r>
          </w:p>
        </w:tc>
        <w:tc>
          <w:tcPr>
            <w:tcW w:w="3827" w:type="dxa"/>
            <w:tcBorders>
              <w:top w:val="nil"/>
              <w:left w:val="nil"/>
              <w:bottom w:val="single" w:sz="4" w:space="0" w:color="auto"/>
              <w:right w:val="single" w:sz="4" w:space="0" w:color="auto"/>
            </w:tcBorders>
            <w:shd w:val="clear" w:color="auto" w:fill="auto"/>
            <w:noWrap/>
            <w:vAlign w:val="center"/>
            <w:hideMark/>
          </w:tcPr>
          <w:p w14:paraId="66B9CFD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Cuyo</w:t>
            </w:r>
          </w:p>
        </w:tc>
        <w:tc>
          <w:tcPr>
            <w:tcW w:w="2126" w:type="dxa"/>
            <w:tcBorders>
              <w:top w:val="nil"/>
              <w:left w:val="nil"/>
              <w:bottom w:val="single" w:sz="4" w:space="0" w:color="auto"/>
              <w:right w:val="single" w:sz="4" w:space="0" w:color="auto"/>
            </w:tcBorders>
            <w:shd w:val="clear" w:color="auto" w:fill="auto"/>
            <w:noWrap/>
            <w:vAlign w:val="center"/>
            <w:hideMark/>
          </w:tcPr>
          <w:p w14:paraId="01682F5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Mendoza</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4EC350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0,43</w:t>
            </w:r>
          </w:p>
        </w:tc>
      </w:tr>
      <w:tr w:rsidR="00B140C1" w:rsidRPr="009C497D" w14:paraId="7375DE0F"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02F8AA1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11</w:t>
            </w:r>
          </w:p>
        </w:tc>
        <w:tc>
          <w:tcPr>
            <w:tcW w:w="3827" w:type="dxa"/>
            <w:tcBorders>
              <w:top w:val="nil"/>
              <w:left w:val="nil"/>
              <w:bottom w:val="single" w:sz="4" w:space="0" w:color="auto"/>
              <w:right w:val="single" w:sz="4" w:space="0" w:color="auto"/>
            </w:tcBorders>
            <w:shd w:val="clear" w:color="auto" w:fill="auto"/>
            <w:noWrap/>
            <w:vAlign w:val="center"/>
            <w:hideMark/>
          </w:tcPr>
          <w:p w14:paraId="18A1BC9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Misiones</w:t>
            </w:r>
          </w:p>
        </w:tc>
        <w:tc>
          <w:tcPr>
            <w:tcW w:w="2126" w:type="dxa"/>
            <w:tcBorders>
              <w:top w:val="nil"/>
              <w:left w:val="nil"/>
              <w:bottom w:val="single" w:sz="4" w:space="0" w:color="auto"/>
              <w:right w:val="single" w:sz="4" w:space="0" w:color="auto"/>
            </w:tcBorders>
            <w:shd w:val="clear" w:color="auto" w:fill="auto"/>
            <w:noWrap/>
            <w:vAlign w:val="center"/>
            <w:hideMark/>
          </w:tcPr>
          <w:p w14:paraId="0FCD12A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Misiones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9524034"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0,41</w:t>
            </w:r>
          </w:p>
        </w:tc>
      </w:tr>
      <w:tr w:rsidR="00B140C1" w:rsidRPr="009C497D" w14:paraId="1F5317A8"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0BD4D71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12</w:t>
            </w:r>
          </w:p>
        </w:tc>
        <w:tc>
          <w:tcPr>
            <w:tcW w:w="3827" w:type="dxa"/>
            <w:tcBorders>
              <w:top w:val="nil"/>
              <w:left w:val="nil"/>
              <w:bottom w:val="single" w:sz="4" w:space="0" w:color="auto"/>
              <w:right w:val="single" w:sz="4" w:space="0" w:color="auto"/>
            </w:tcBorders>
            <w:shd w:val="clear" w:color="auto" w:fill="auto"/>
            <w:noWrap/>
            <w:vAlign w:val="center"/>
            <w:hideMark/>
          </w:tcPr>
          <w:p w14:paraId="7F4D628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La Matanza</w:t>
            </w:r>
          </w:p>
        </w:tc>
        <w:tc>
          <w:tcPr>
            <w:tcW w:w="2126" w:type="dxa"/>
            <w:tcBorders>
              <w:top w:val="nil"/>
              <w:left w:val="nil"/>
              <w:bottom w:val="single" w:sz="4" w:space="0" w:color="auto"/>
              <w:right w:val="single" w:sz="4" w:space="0" w:color="auto"/>
            </w:tcBorders>
            <w:shd w:val="clear" w:color="auto" w:fill="auto"/>
            <w:noWrap/>
            <w:vAlign w:val="center"/>
            <w:hideMark/>
          </w:tcPr>
          <w:p w14:paraId="56C8C91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FD6D26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0,40</w:t>
            </w:r>
          </w:p>
        </w:tc>
      </w:tr>
      <w:tr w:rsidR="00B140C1" w:rsidRPr="009C497D" w14:paraId="20E83F87"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1BF5847"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13</w:t>
            </w:r>
          </w:p>
        </w:tc>
        <w:tc>
          <w:tcPr>
            <w:tcW w:w="3827" w:type="dxa"/>
            <w:tcBorders>
              <w:top w:val="nil"/>
              <w:left w:val="nil"/>
              <w:bottom w:val="single" w:sz="4" w:space="0" w:color="auto"/>
              <w:right w:val="single" w:sz="4" w:space="0" w:color="auto"/>
            </w:tcBorders>
            <w:shd w:val="clear" w:color="auto" w:fill="auto"/>
            <w:noWrap/>
            <w:vAlign w:val="center"/>
            <w:hideMark/>
          </w:tcPr>
          <w:p w14:paraId="34AA8A3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Lanús</w:t>
            </w:r>
          </w:p>
        </w:tc>
        <w:tc>
          <w:tcPr>
            <w:tcW w:w="2126" w:type="dxa"/>
            <w:tcBorders>
              <w:top w:val="nil"/>
              <w:left w:val="nil"/>
              <w:bottom w:val="single" w:sz="4" w:space="0" w:color="auto"/>
              <w:right w:val="single" w:sz="4" w:space="0" w:color="auto"/>
            </w:tcBorders>
            <w:shd w:val="clear" w:color="auto" w:fill="auto"/>
            <w:noWrap/>
            <w:vAlign w:val="center"/>
            <w:hideMark/>
          </w:tcPr>
          <w:p w14:paraId="0D8615F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C05430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0,39</w:t>
            </w:r>
          </w:p>
        </w:tc>
      </w:tr>
      <w:tr w:rsidR="00B140C1" w:rsidRPr="009C497D" w14:paraId="163D2115"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08D9E08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14</w:t>
            </w:r>
          </w:p>
        </w:tc>
        <w:tc>
          <w:tcPr>
            <w:tcW w:w="3827" w:type="dxa"/>
            <w:tcBorders>
              <w:top w:val="nil"/>
              <w:left w:val="nil"/>
              <w:bottom w:val="single" w:sz="4" w:space="0" w:color="auto"/>
              <w:right w:val="single" w:sz="4" w:space="0" w:color="auto"/>
            </w:tcBorders>
            <w:shd w:val="clear" w:color="auto" w:fill="auto"/>
            <w:noWrap/>
            <w:vAlign w:val="center"/>
            <w:hideMark/>
          </w:tcPr>
          <w:p w14:paraId="2986932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Santiago del Estero</w:t>
            </w:r>
          </w:p>
        </w:tc>
        <w:tc>
          <w:tcPr>
            <w:tcW w:w="2126" w:type="dxa"/>
            <w:tcBorders>
              <w:top w:val="nil"/>
              <w:left w:val="nil"/>
              <w:bottom w:val="single" w:sz="4" w:space="0" w:color="auto"/>
              <w:right w:val="single" w:sz="4" w:space="0" w:color="auto"/>
            </w:tcBorders>
            <w:shd w:val="clear" w:color="auto" w:fill="auto"/>
            <w:noWrap/>
            <w:vAlign w:val="center"/>
            <w:hideMark/>
          </w:tcPr>
          <w:p w14:paraId="2AC6F96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Santiago del Estero</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E5BE3C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0,39</w:t>
            </w:r>
          </w:p>
        </w:tc>
      </w:tr>
      <w:tr w:rsidR="00B140C1" w:rsidRPr="009C497D" w14:paraId="1A0F6551"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422ADE6C"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15</w:t>
            </w:r>
          </w:p>
        </w:tc>
        <w:tc>
          <w:tcPr>
            <w:tcW w:w="3827" w:type="dxa"/>
            <w:tcBorders>
              <w:top w:val="nil"/>
              <w:left w:val="nil"/>
              <w:bottom w:val="single" w:sz="4" w:space="0" w:color="auto"/>
              <w:right w:val="single" w:sz="4" w:space="0" w:color="auto"/>
            </w:tcBorders>
            <w:shd w:val="clear" w:color="auto" w:fill="auto"/>
            <w:noWrap/>
            <w:vAlign w:val="center"/>
            <w:hideMark/>
          </w:tcPr>
          <w:p w14:paraId="01A3AD2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Formosa</w:t>
            </w:r>
          </w:p>
        </w:tc>
        <w:tc>
          <w:tcPr>
            <w:tcW w:w="2126" w:type="dxa"/>
            <w:tcBorders>
              <w:top w:val="nil"/>
              <w:left w:val="nil"/>
              <w:bottom w:val="single" w:sz="4" w:space="0" w:color="auto"/>
              <w:right w:val="single" w:sz="4" w:space="0" w:color="auto"/>
            </w:tcBorders>
            <w:shd w:val="clear" w:color="auto" w:fill="auto"/>
            <w:noWrap/>
            <w:vAlign w:val="center"/>
            <w:hideMark/>
          </w:tcPr>
          <w:p w14:paraId="7F3580E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Formosa</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2A048A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0,33</w:t>
            </w:r>
          </w:p>
        </w:tc>
      </w:tr>
      <w:tr w:rsidR="00B140C1" w:rsidRPr="009C497D" w14:paraId="18CA1335"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BAE8E9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16</w:t>
            </w:r>
          </w:p>
        </w:tc>
        <w:tc>
          <w:tcPr>
            <w:tcW w:w="3827" w:type="dxa"/>
            <w:tcBorders>
              <w:top w:val="nil"/>
              <w:left w:val="nil"/>
              <w:bottom w:val="single" w:sz="4" w:space="0" w:color="auto"/>
              <w:right w:val="single" w:sz="4" w:space="0" w:color="auto"/>
            </w:tcBorders>
            <w:shd w:val="clear" w:color="auto" w:fill="auto"/>
            <w:noWrap/>
            <w:vAlign w:val="center"/>
            <w:hideMark/>
          </w:tcPr>
          <w:p w14:paraId="52A04F14"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Centro de la PBA</w:t>
            </w:r>
          </w:p>
        </w:tc>
        <w:tc>
          <w:tcPr>
            <w:tcW w:w="2126" w:type="dxa"/>
            <w:tcBorders>
              <w:top w:val="nil"/>
              <w:left w:val="nil"/>
              <w:bottom w:val="single" w:sz="4" w:space="0" w:color="auto"/>
              <w:right w:val="single" w:sz="4" w:space="0" w:color="auto"/>
            </w:tcBorders>
            <w:shd w:val="clear" w:color="auto" w:fill="auto"/>
            <w:noWrap/>
            <w:vAlign w:val="center"/>
            <w:hideMark/>
          </w:tcPr>
          <w:p w14:paraId="6B069C8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7AF3D2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0,33</w:t>
            </w:r>
          </w:p>
        </w:tc>
      </w:tr>
      <w:tr w:rsidR="00B140C1" w:rsidRPr="009C497D" w14:paraId="0CA6090F"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B4F8C7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17</w:t>
            </w:r>
          </w:p>
        </w:tc>
        <w:tc>
          <w:tcPr>
            <w:tcW w:w="3827" w:type="dxa"/>
            <w:tcBorders>
              <w:top w:val="nil"/>
              <w:left w:val="nil"/>
              <w:bottom w:val="single" w:sz="4" w:space="0" w:color="auto"/>
              <w:right w:val="single" w:sz="4" w:space="0" w:color="auto"/>
            </w:tcBorders>
            <w:shd w:val="clear" w:color="auto" w:fill="auto"/>
            <w:noWrap/>
            <w:vAlign w:val="center"/>
            <w:hideMark/>
          </w:tcPr>
          <w:p w14:paraId="55CD155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Chaco Austral</w:t>
            </w:r>
          </w:p>
        </w:tc>
        <w:tc>
          <w:tcPr>
            <w:tcW w:w="2126" w:type="dxa"/>
            <w:tcBorders>
              <w:top w:val="nil"/>
              <w:left w:val="nil"/>
              <w:bottom w:val="single" w:sz="4" w:space="0" w:color="auto"/>
              <w:right w:val="single" w:sz="4" w:space="0" w:color="auto"/>
            </w:tcBorders>
            <w:shd w:val="clear" w:color="auto" w:fill="auto"/>
            <w:noWrap/>
            <w:vAlign w:val="center"/>
            <w:hideMark/>
          </w:tcPr>
          <w:p w14:paraId="37B7749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Chaco</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401304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0,32</w:t>
            </w:r>
          </w:p>
        </w:tc>
      </w:tr>
      <w:tr w:rsidR="00B140C1" w:rsidRPr="009C497D" w14:paraId="15CB93BE"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8B6423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18</w:t>
            </w:r>
          </w:p>
        </w:tc>
        <w:tc>
          <w:tcPr>
            <w:tcW w:w="3827" w:type="dxa"/>
            <w:tcBorders>
              <w:top w:val="nil"/>
              <w:left w:val="nil"/>
              <w:bottom w:val="single" w:sz="4" w:space="0" w:color="auto"/>
              <w:right w:val="single" w:sz="4" w:space="0" w:color="auto"/>
            </w:tcBorders>
            <w:shd w:val="clear" w:color="auto" w:fill="auto"/>
            <w:noWrap/>
            <w:vAlign w:val="center"/>
            <w:hideMark/>
          </w:tcPr>
          <w:p w14:paraId="63161F0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Noroeste de la PBA</w:t>
            </w:r>
          </w:p>
        </w:tc>
        <w:tc>
          <w:tcPr>
            <w:tcW w:w="2126" w:type="dxa"/>
            <w:tcBorders>
              <w:top w:val="nil"/>
              <w:left w:val="nil"/>
              <w:bottom w:val="single" w:sz="4" w:space="0" w:color="auto"/>
              <w:right w:val="single" w:sz="4" w:space="0" w:color="auto"/>
            </w:tcBorders>
            <w:shd w:val="clear" w:color="auto" w:fill="auto"/>
            <w:noWrap/>
            <w:vAlign w:val="center"/>
            <w:hideMark/>
          </w:tcPr>
          <w:p w14:paraId="62B219F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59B670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0,31</w:t>
            </w:r>
          </w:p>
        </w:tc>
      </w:tr>
      <w:tr w:rsidR="00B140C1" w:rsidRPr="009C497D" w14:paraId="7EDBC887"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DEF959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19</w:t>
            </w:r>
          </w:p>
        </w:tc>
        <w:tc>
          <w:tcPr>
            <w:tcW w:w="3827" w:type="dxa"/>
            <w:tcBorders>
              <w:top w:val="nil"/>
              <w:left w:val="nil"/>
              <w:bottom w:val="single" w:sz="4" w:space="0" w:color="auto"/>
              <w:right w:val="single" w:sz="4" w:space="0" w:color="auto"/>
            </w:tcBorders>
            <w:shd w:val="clear" w:color="auto" w:fill="auto"/>
            <w:noWrap/>
            <w:vAlign w:val="center"/>
            <w:hideMark/>
          </w:tcPr>
          <w:p w14:paraId="2B4AE38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Entre Ríos</w:t>
            </w:r>
          </w:p>
        </w:tc>
        <w:tc>
          <w:tcPr>
            <w:tcW w:w="2126" w:type="dxa"/>
            <w:tcBorders>
              <w:top w:val="nil"/>
              <w:left w:val="nil"/>
              <w:bottom w:val="single" w:sz="4" w:space="0" w:color="auto"/>
              <w:right w:val="single" w:sz="4" w:space="0" w:color="auto"/>
            </w:tcBorders>
            <w:shd w:val="clear" w:color="auto" w:fill="auto"/>
            <w:noWrap/>
            <w:vAlign w:val="center"/>
            <w:hideMark/>
          </w:tcPr>
          <w:p w14:paraId="7308714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Entre Ríos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5EFE2C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0,31</w:t>
            </w:r>
          </w:p>
        </w:tc>
      </w:tr>
      <w:tr w:rsidR="00B140C1" w:rsidRPr="009C497D" w14:paraId="14D617A3"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0A8D3E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20</w:t>
            </w:r>
          </w:p>
        </w:tc>
        <w:tc>
          <w:tcPr>
            <w:tcW w:w="3827" w:type="dxa"/>
            <w:tcBorders>
              <w:top w:val="nil"/>
              <w:left w:val="nil"/>
              <w:bottom w:val="single" w:sz="4" w:space="0" w:color="auto"/>
              <w:right w:val="single" w:sz="4" w:space="0" w:color="auto"/>
            </w:tcBorders>
            <w:shd w:val="clear" w:color="auto" w:fill="auto"/>
            <w:noWrap/>
            <w:vAlign w:val="center"/>
            <w:hideMark/>
          </w:tcPr>
          <w:p w14:paraId="77D5743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Litoral</w:t>
            </w:r>
          </w:p>
        </w:tc>
        <w:tc>
          <w:tcPr>
            <w:tcW w:w="2126" w:type="dxa"/>
            <w:tcBorders>
              <w:top w:val="nil"/>
              <w:left w:val="nil"/>
              <w:bottom w:val="single" w:sz="4" w:space="0" w:color="auto"/>
              <w:right w:val="single" w:sz="4" w:space="0" w:color="auto"/>
            </w:tcBorders>
            <w:shd w:val="clear" w:color="auto" w:fill="auto"/>
            <w:noWrap/>
            <w:vAlign w:val="center"/>
            <w:hideMark/>
          </w:tcPr>
          <w:p w14:paraId="52D8707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Santa Fe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4607E3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0,30</w:t>
            </w:r>
          </w:p>
        </w:tc>
      </w:tr>
      <w:tr w:rsidR="00B140C1" w:rsidRPr="009C497D" w14:paraId="015840E3"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7455890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21</w:t>
            </w:r>
          </w:p>
        </w:tc>
        <w:tc>
          <w:tcPr>
            <w:tcW w:w="3827" w:type="dxa"/>
            <w:tcBorders>
              <w:top w:val="nil"/>
              <w:left w:val="nil"/>
              <w:bottom w:val="single" w:sz="4" w:space="0" w:color="auto"/>
              <w:right w:val="single" w:sz="4" w:space="0" w:color="auto"/>
            </w:tcBorders>
            <w:shd w:val="clear" w:color="auto" w:fill="auto"/>
            <w:noWrap/>
            <w:vAlign w:val="center"/>
            <w:hideMark/>
          </w:tcPr>
          <w:p w14:paraId="1076AFF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Sur</w:t>
            </w:r>
          </w:p>
        </w:tc>
        <w:tc>
          <w:tcPr>
            <w:tcW w:w="2126" w:type="dxa"/>
            <w:tcBorders>
              <w:top w:val="nil"/>
              <w:left w:val="nil"/>
              <w:bottom w:val="single" w:sz="4" w:space="0" w:color="auto"/>
              <w:right w:val="single" w:sz="4" w:space="0" w:color="auto"/>
            </w:tcBorders>
            <w:shd w:val="clear" w:color="auto" w:fill="auto"/>
            <w:noWrap/>
            <w:vAlign w:val="center"/>
            <w:hideMark/>
          </w:tcPr>
          <w:p w14:paraId="3448F86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E6DB22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0,30</w:t>
            </w:r>
          </w:p>
        </w:tc>
      </w:tr>
      <w:tr w:rsidR="00B140C1" w:rsidRPr="009C497D" w14:paraId="5056C43F"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1BDF94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22</w:t>
            </w:r>
          </w:p>
        </w:tc>
        <w:tc>
          <w:tcPr>
            <w:tcW w:w="3827" w:type="dxa"/>
            <w:tcBorders>
              <w:top w:val="nil"/>
              <w:left w:val="nil"/>
              <w:bottom w:val="single" w:sz="4" w:space="0" w:color="auto"/>
              <w:right w:val="single" w:sz="4" w:space="0" w:color="auto"/>
            </w:tcBorders>
            <w:shd w:val="clear" w:color="auto" w:fill="auto"/>
            <w:noWrap/>
            <w:vAlign w:val="center"/>
            <w:hideMark/>
          </w:tcPr>
          <w:p w14:paraId="601167E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Mar del Plata</w:t>
            </w:r>
          </w:p>
        </w:tc>
        <w:tc>
          <w:tcPr>
            <w:tcW w:w="2126" w:type="dxa"/>
            <w:tcBorders>
              <w:top w:val="nil"/>
              <w:left w:val="nil"/>
              <w:bottom w:val="single" w:sz="4" w:space="0" w:color="auto"/>
              <w:right w:val="single" w:sz="4" w:space="0" w:color="auto"/>
            </w:tcBorders>
            <w:shd w:val="clear" w:color="auto" w:fill="auto"/>
            <w:noWrap/>
            <w:vAlign w:val="center"/>
            <w:hideMark/>
          </w:tcPr>
          <w:p w14:paraId="16CBA3A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D513B2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0,29</w:t>
            </w:r>
          </w:p>
        </w:tc>
      </w:tr>
      <w:tr w:rsidR="00B140C1" w:rsidRPr="009C497D" w14:paraId="0D176DB0"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2BB37B8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23</w:t>
            </w:r>
          </w:p>
        </w:tc>
        <w:tc>
          <w:tcPr>
            <w:tcW w:w="3827" w:type="dxa"/>
            <w:tcBorders>
              <w:top w:val="nil"/>
              <w:left w:val="nil"/>
              <w:bottom w:val="single" w:sz="4" w:space="0" w:color="auto"/>
              <w:right w:val="single" w:sz="4" w:space="0" w:color="auto"/>
            </w:tcBorders>
            <w:shd w:val="clear" w:color="auto" w:fill="auto"/>
            <w:noWrap/>
            <w:vAlign w:val="center"/>
            <w:hideMark/>
          </w:tcPr>
          <w:p w14:paraId="1F95DCCE" w14:textId="77777777" w:rsidR="00B140C1" w:rsidRPr="009C497D" w:rsidRDefault="00B140C1" w:rsidP="009C497D">
            <w:pPr>
              <w:spacing w:after="0" w:line="240" w:lineRule="auto"/>
              <w:jc w:val="both"/>
              <w:rPr>
                <w:rFonts w:eastAsia="Times New Roman" w:cstheme="minorHAnsi"/>
                <w:color w:val="000000"/>
                <w:sz w:val="20"/>
                <w:szCs w:val="20"/>
                <w:lang w:eastAsia="es-AR"/>
              </w:rPr>
            </w:pPr>
            <w:proofErr w:type="spellStart"/>
            <w:r w:rsidRPr="009C497D">
              <w:rPr>
                <w:rFonts w:eastAsia="Times New Roman" w:cstheme="minorHAnsi"/>
                <w:color w:val="000000"/>
                <w:sz w:val="20"/>
                <w:szCs w:val="20"/>
                <w:lang w:eastAsia="es-AR"/>
              </w:rPr>
              <w:t>Jose</w:t>
            </w:r>
            <w:proofErr w:type="spellEnd"/>
            <w:r w:rsidRPr="009C497D">
              <w:rPr>
                <w:rFonts w:eastAsia="Times New Roman" w:cstheme="minorHAnsi"/>
                <w:color w:val="000000"/>
                <w:sz w:val="20"/>
                <w:szCs w:val="20"/>
                <w:lang w:eastAsia="es-AR"/>
              </w:rPr>
              <w:t xml:space="preserve"> Clemente Paz</w:t>
            </w:r>
          </w:p>
        </w:tc>
        <w:tc>
          <w:tcPr>
            <w:tcW w:w="2126" w:type="dxa"/>
            <w:tcBorders>
              <w:top w:val="nil"/>
              <w:left w:val="nil"/>
              <w:bottom w:val="single" w:sz="4" w:space="0" w:color="auto"/>
              <w:right w:val="single" w:sz="4" w:space="0" w:color="auto"/>
            </w:tcBorders>
            <w:shd w:val="clear" w:color="auto" w:fill="auto"/>
            <w:noWrap/>
            <w:vAlign w:val="center"/>
            <w:hideMark/>
          </w:tcPr>
          <w:p w14:paraId="5344959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92C8C8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0,29</w:t>
            </w:r>
          </w:p>
        </w:tc>
      </w:tr>
      <w:tr w:rsidR="00B140C1" w:rsidRPr="009C497D" w14:paraId="79944D0D"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6D7A23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24</w:t>
            </w:r>
          </w:p>
        </w:tc>
        <w:tc>
          <w:tcPr>
            <w:tcW w:w="3827" w:type="dxa"/>
            <w:tcBorders>
              <w:top w:val="nil"/>
              <w:left w:val="nil"/>
              <w:bottom w:val="single" w:sz="4" w:space="0" w:color="auto"/>
              <w:right w:val="single" w:sz="4" w:space="0" w:color="auto"/>
            </w:tcBorders>
            <w:shd w:val="clear" w:color="auto" w:fill="auto"/>
            <w:noWrap/>
            <w:vAlign w:val="center"/>
            <w:hideMark/>
          </w:tcPr>
          <w:p w14:paraId="297741C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Quilmes</w:t>
            </w:r>
          </w:p>
        </w:tc>
        <w:tc>
          <w:tcPr>
            <w:tcW w:w="2126" w:type="dxa"/>
            <w:tcBorders>
              <w:top w:val="nil"/>
              <w:left w:val="nil"/>
              <w:bottom w:val="single" w:sz="4" w:space="0" w:color="auto"/>
              <w:right w:val="single" w:sz="4" w:space="0" w:color="auto"/>
            </w:tcBorders>
            <w:shd w:val="clear" w:color="auto" w:fill="auto"/>
            <w:noWrap/>
            <w:vAlign w:val="center"/>
            <w:hideMark/>
          </w:tcPr>
          <w:p w14:paraId="5F22ECF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9E9CE1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0,26</w:t>
            </w:r>
          </w:p>
        </w:tc>
      </w:tr>
      <w:tr w:rsidR="00B140C1" w:rsidRPr="009C497D" w14:paraId="6FAE742E"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495CDFDC"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25</w:t>
            </w:r>
          </w:p>
        </w:tc>
        <w:tc>
          <w:tcPr>
            <w:tcW w:w="3827" w:type="dxa"/>
            <w:tcBorders>
              <w:top w:val="nil"/>
              <w:left w:val="nil"/>
              <w:bottom w:val="single" w:sz="4" w:space="0" w:color="auto"/>
              <w:right w:val="single" w:sz="4" w:space="0" w:color="auto"/>
            </w:tcBorders>
            <w:shd w:val="clear" w:color="auto" w:fill="auto"/>
            <w:noWrap/>
            <w:vAlign w:val="center"/>
            <w:hideMark/>
          </w:tcPr>
          <w:p w14:paraId="0B04E9B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Río Cuarto</w:t>
            </w:r>
          </w:p>
        </w:tc>
        <w:tc>
          <w:tcPr>
            <w:tcW w:w="2126" w:type="dxa"/>
            <w:tcBorders>
              <w:top w:val="nil"/>
              <w:left w:val="nil"/>
              <w:bottom w:val="single" w:sz="4" w:space="0" w:color="auto"/>
              <w:right w:val="single" w:sz="4" w:space="0" w:color="auto"/>
            </w:tcBorders>
            <w:shd w:val="clear" w:color="auto" w:fill="auto"/>
            <w:noWrap/>
            <w:vAlign w:val="center"/>
            <w:hideMark/>
          </w:tcPr>
          <w:p w14:paraId="5687EA4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Córdoba</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734625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0,26</w:t>
            </w:r>
          </w:p>
        </w:tc>
      </w:tr>
      <w:tr w:rsidR="00B140C1" w:rsidRPr="009C497D" w14:paraId="2D518266"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2AC063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26</w:t>
            </w:r>
          </w:p>
        </w:tc>
        <w:tc>
          <w:tcPr>
            <w:tcW w:w="3827" w:type="dxa"/>
            <w:tcBorders>
              <w:top w:val="nil"/>
              <w:left w:val="nil"/>
              <w:bottom w:val="single" w:sz="4" w:space="0" w:color="auto"/>
              <w:right w:val="single" w:sz="4" w:space="0" w:color="auto"/>
            </w:tcBorders>
            <w:shd w:val="clear" w:color="auto" w:fill="auto"/>
            <w:noWrap/>
            <w:vAlign w:val="center"/>
            <w:hideMark/>
          </w:tcPr>
          <w:p w14:paraId="6C774F6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La Pampa</w:t>
            </w:r>
          </w:p>
        </w:tc>
        <w:tc>
          <w:tcPr>
            <w:tcW w:w="2126" w:type="dxa"/>
            <w:tcBorders>
              <w:top w:val="nil"/>
              <w:left w:val="nil"/>
              <w:bottom w:val="single" w:sz="4" w:space="0" w:color="auto"/>
              <w:right w:val="single" w:sz="4" w:space="0" w:color="auto"/>
            </w:tcBorders>
            <w:shd w:val="clear" w:color="auto" w:fill="auto"/>
            <w:noWrap/>
            <w:vAlign w:val="center"/>
            <w:hideMark/>
          </w:tcPr>
          <w:p w14:paraId="382E4A6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La Pampa</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2E95AE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0,25</w:t>
            </w:r>
          </w:p>
        </w:tc>
      </w:tr>
      <w:tr w:rsidR="00B140C1" w:rsidRPr="009C497D" w14:paraId="209543EE"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2B04502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27</w:t>
            </w:r>
          </w:p>
        </w:tc>
        <w:tc>
          <w:tcPr>
            <w:tcW w:w="3827" w:type="dxa"/>
            <w:tcBorders>
              <w:top w:val="nil"/>
              <w:left w:val="nil"/>
              <w:bottom w:val="single" w:sz="4" w:space="0" w:color="auto"/>
              <w:right w:val="single" w:sz="4" w:space="0" w:color="auto"/>
            </w:tcBorders>
            <w:shd w:val="clear" w:color="auto" w:fill="auto"/>
            <w:noWrap/>
            <w:vAlign w:val="center"/>
            <w:hideMark/>
          </w:tcPr>
          <w:p w14:paraId="5F83E4D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Tucumán</w:t>
            </w:r>
          </w:p>
        </w:tc>
        <w:tc>
          <w:tcPr>
            <w:tcW w:w="2126" w:type="dxa"/>
            <w:tcBorders>
              <w:top w:val="nil"/>
              <w:left w:val="nil"/>
              <w:bottom w:val="single" w:sz="4" w:space="0" w:color="auto"/>
              <w:right w:val="single" w:sz="4" w:space="0" w:color="auto"/>
            </w:tcBorders>
            <w:shd w:val="clear" w:color="auto" w:fill="auto"/>
            <w:noWrap/>
            <w:vAlign w:val="center"/>
            <w:hideMark/>
          </w:tcPr>
          <w:p w14:paraId="61EF3C4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Tucumán</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1E7B19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0,25</w:t>
            </w:r>
          </w:p>
        </w:tc>
      </w:tr>
      <w:tr w:rsidR="00B140C1" w:rsidRPr="009C497D" w14:paraId="1D0E9F6B"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95BB2E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28</w:t>
            </w:r>
          </w:p>
        </w:tc>
        <w:tc>
          <w:tcPr>
            <w:tcW w:w="3827" w:type="dxa"/>
            <w:tcBorders>
              <w:top w:val="nil"/>
              <w:left w:val="nil"/>
              <w:bottom w:val="single" w:sz="4" w:space="0" w:color="auto"/>
              <w:right w:val="single" w:sz="4" w:space="0" w:color="auto"/>
            </w:tcBorders>
            <w:shd w:val="clear" w:color="auto" w:fill="auto"/>
            <w:noWrap/>
            <w:vAlign w:val="center"/>
            <w:hideMark/>
          </w:tcPr>
          <w:p w14:paraId="6DEB905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Patagonia San Juan Bosco</w:t>
            </w:r>
          </w:p>
        </w:tc>
        <w:tc>
          <w:tcPr>
            <w:tcW w:w="2126" w:type="dxa"/>
            <w:tcBorders>
              <w:top w:val="nil"/>
              <w:left w:val="nil"/>
              <w:bottom w:val="single" w:sz="4" w:space="0" w:color="auto"/>
              <w:right w:val="single" w:sz="4" w:space="0" w:color="auto"/>
            </w:tcBorders>
            <w:shd w:val="clear" w:color="auto" w:fill="auto"/>
            <w:noWrap/>
            <w:vAlign w:val="center"/>
            <w:hideMark/>
          </w:tcPr>
          <w:p w14:paraId="010DA24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Chubut</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316CEF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0,22</w:t>
            </w:r>
          </w:p>
        </w:tc>
      </w:tr>
      <w:tr w:rsidR="00B140C1" w:rsidRPr="009C497D" w14:paraId="57B506EA"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50687F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29</w:t>
            </w:r>
          </w:p>
        </w:tc>
        <w:tc>
          <w:tcPr>
            <w:tcW w:w="3827" w:type="dxa"/>
            <w:tcBorders>
              <w:top w:val="nil"/>
              <w:left w:val="nil"/>
              <w:bottom w:val="single" w:sz="4" w:space="0" w:color="auto"/>
              <w:right w:val="single" w:sz="4" w:space="0" w:color="auto"/>
            </w:tcBorders>
            <w:shd w:val="clear" w:color="auto" w:fill="auto"/>
            <w:noWrap/>
            <w:vAlign w:val="center"/>
            <w:hideMark/>
          </w:tcPr>
          <w:p w14:paraId="769C351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La Rioja</w:t>
            </w:r>
          </w:p>
        </w:tc>
        <w:tc>
          <w:tcPr>
            <w:tcW w:w="2126" w:type="dxa"/>
            <w:tcBorders>
              <w:top w:val="nil"/>
              <w:left w:val="nil"/>
              <w:bottom w:val="single" w:sz="4" w:space="0" w:color="auto"/>
              <w:right w:val="single" w:sz="4" w:space="0" w:color="auto"/>
            </w:tcBorders>
            <w:shd w:val="clear" w:color="auto" w:fill="auto"/>
            <w:noWrap/>
            <w:vAlign w:val="center"/>
            <w:hideMark/>
          </w:tcPr>
          <w:p w14:paraId="61AC8CD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La Rioja</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3A4E36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0,22</w:t>
            </w:r>
          </w:p>
        </w:tc>
      </w:tr>
      <w:tr w:rsidR="00B140C1" w:rsidRPr="009C497D" w14:paraId="6C6EDF07"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6D71BB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30</w:t>
            </w:r>
          </w:p>
        </w:tc>
        <w:tc>
          <w:tcPr>
            <w:tcW w:w="3827" w:type="dxa"/>
            <w:tcBorders>
              <w:top w:val="nil"/>
              <w:left w:val="nil"/>
              <w:bottom w:val="single" w:sz="4" w:space="0" w:color="auto"/>
              <w:right w:val="single" w:sz="4" w:space="0" w:color="auto"/>
            </w:tcBorders>
            <w:shd w:val="clear" w:color="auto" w:fill="auto"/>
            <w:noWrap/>
            <w:vAlign w:val="center"/>
            <w:hideMark/>
          </w:tcPr>
          <w:p w14:paraId="154E499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Catamarca</w:t>
            </w:r>
          </w:p>
        </w:tc>
        <w:tc>
          <w:tcPr>
            <w:tcW w:w="2126" w:type="dxa"/>
            <w:tcBorders>
              <w:top w:val="nil"/>
              <w:left w:val="nil"/>
              <w:bottom w:val="single" w:sz="4" w:space="0" w:color="auto"/>
              <w:right w:val="single" w:sz="4" w:space="0" w:color="auto"/>
            </w:tcBorders>
            <w:shd w:val="clear" w:color="auto" w:fill="auto"/>
            <w:noWrap/>
            <w:vAlign w:val="center"/>
            <w:hideMark/>
          </w:tcPr>
          <w:p w14:paraId="7769FC1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Catamarca</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7F9278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0,21</w:t>
            </w:r>
          </w:p>
        </w:tc>
      </w:tr>
      <w:tr w:rsidR="00B140C1" w:rsidRPr="009C497D" w14:paraId="294538CF"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746F001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31</w:t>
            </w:r>
          </w:p>
        </w:tc>
        <w:tc>
          <w:tcPr>
            <w:tcW w:w="3827" w:type="dxa"/>
            <w:tcBorders>
              <w:top w:val="nil"/>
              <w:left w:val="nil"/>
              <w:bottom w:val="single" w:sz="4" w:space="0" w:color="auto"/>
              <w:right w:val="single" w:sz="4" w:space="0" w:color="auto"/>
            </w:tcBorders>
            <w:shd w:val="clear" w:color="auto" w:fill="auto"/>
            <w:noWrap/>
            <w:vAlign w:val="center"/>
            <w:hideMark/>
          </w:tcPr>
          <w:p w14:paraId="61631F3C"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 Juan</w:t>
            </w:r>
          </w:p>
        </w:tc>
        <w:tc>
          <w:tcPr>
            <w:tcW w:w="2126" w:type="dxa"/>
            <w:tcBorders>
              <w:top w:val="nil"/>
              <w:left w:val="nil"/>
              <w:bottom w:val="single" w:sz="4" w:space="0" w:color="auto"/>
              <w:right w:val="single" w:sz="4" w:space="0" w:color="auto"/>
            </w:tcBorders>
            <w:shd w:val="clear" w:color="auto" w:fill="auto"/>
            <w:noWrap/>
            <w:vAlign w:val="center"/>
            <w:hideMark/>
          </w:tcPr>
          <w:p w14:paraId="32B2398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 Juan</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A54FB9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0,21</w:t>
            </w:r>
          </w:p>
        </w:tc>
      </w:tr>
      <w:tr w:rsidR="00B140C1" w:rsidRPr="009C497D" w14:paraId="1386B921"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41A248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32</w:t>
            </w:r>
          </w:p>
        </w:tc>
        <w:tc>
          <w:tcPr>
            <w:tcW w:w="3827" w:type="dxa"/>
            <w:tcBorders>
              <w:top w:val="nil"/>
              <w:left w:val="nil"/>
              <w:bottom w:val="single" w:sz="4" w:space="0" w:color="auto"/>
              <w:right w:val="single" w:sz="4" w:space="0" w:color="auto"/>
            </w:tcBorders>
            <w:shd w:val="clear" w:color="auto" w:fill="auto"/>
            <w:noWrap/>
            <w:vAlign w:val="center"/>
            <w:hideMark/>
          </w:tcPr>
          <w:p w14:paraId="49F8F24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Chilecito</w:t>
            </w:r>
          </w:p>
        </w:tc>
        <w:tc>
          <w:tcPr>
            <w:tcW w:w="2126" w:type="dxa"/>
            <w:tcBorders>
              <w:top w:val="nil"/>
              <w:left w:val="nil"/>
              <w:bottom w:val="single" w:sz="4" w:space="0" w:color="auto"/>
              <w:right w:val="single" w:sz="4" w:space="0" w:color="auto"/>
            </w:tcBorders>
            <w:shd w:val="clear" w:color="auto" w:fill="auto"/>
            <w:noWrap/>
            <w:vAlign w:val="center"/>
            <w:hideMark/>
          </w:tcPr>
          <w:p w14:paraId="6E73DC2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La Rioja</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DD15A6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0,21</w:t>
            </w:r>
          </w:p>
        </w:tc>
      </w:tr>
      <w:tr w:rsidR="00B140C1" w:rsidRPr="009C497D" w14:paraId="08A12566" w14:textId="77777777" w:rsidTr="00B140C1">
        <w:trPr>
          <w:trHeight w:val="300"/>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8DD0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33</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3948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Comahue</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4FF9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Neuquén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E1ED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0,19</w:t>
            </w:r>
          </w:p>
        </w:tc>
      </w:tr>
      <w:tr w:rsidR="00B140C1" w:rsidRPr="009C497D" w14:paraId="136B90B1" w14:textId="77777777" w:rsidTr="00B140C1">
        <w:trPr>
          <w:trHeight w:val="300"/>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47BF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34</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77B5931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Salta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BD9C98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Salta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6168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0,19</w:t>
            </w:r>
          </w:p>
        </w:tc>
      </w:tr>
      <w:tr w:rsidR="00B140C1" w:rsidRPr="009C497D" w14:paraId="07A73826"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209A80A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35</w:t>
            </w:r>
          </w:p>
        </w:tc>
        <w:tc>
          <w:tcPr>
            <w:tcW w:w="3827" w:type="dxa"/>
            <w:tcBorders>
              <w:top w:val="nil"/>
              <w:left w:val="nil"/>
              <w:bottom w:val="single" w:sz="4" w:space="0" w:color="auto"/>
              <w:right w:val="single" w:sz="4" w:space="0" w:color="auto"/>
            </w:tcBorders>
            <w:shd w:val="clear" w:color="auto" w:fill="auto"/>
            <w:noWrap/>
            <w:vAlign w:val="center"/>
            <w:hideMark/>
          </w:tcPr>
          <w:p w14:paraId="6245B8B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 Luis</w:t>
            </w:r>
          </w:p>
        </w:tc>
        <w:tc>
          <w:tcPr>
            <w:tcW w:w="2126" w:type="dxa"/>
            <w:tcBorders>
              <w:top w:val="nil"/>
              <w:left w:val="nil"/>
              <w:bottom w:val="single" w:sz="4" w:space="0" w:color="auto"/>
              <w:right w:val="single" w:sz="4" w:space="0" w:color="auto"/>
            </w:tcBorders>
            <w:shd w:val="clear" w:color="auto" w:fill="auto"/>
            <w:noWrap/>
            <w:vAlign w:val="center"/>
            <w:hideMark/>
          </w:tcPr>
          <w:p w14:paraId="27CD2E7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 Luis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57C2BC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0,19</w:t>
            </w:r>
          </w:p>
        </w:tc>
      </w:tr>
      <w:tr w:rsidR="00B140C1" w:rsidRPr="009C497D" w14:paraId="54751096"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521C3A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36</w:t>
            </w:r>
          </w:p>
        </w:tc>
        <w:tc>
          <w:tcPr>
            <w:tcW w:w="3827" w:type="dxa"/>
            <w:tcBorders>
              <w:top w:val="nil"/>
              <w:left w:val="nil"/>
              <w:bottom w:val="single" w:sz="4" w:space="0" w:color="auto"/>
              <w:right w:val="single" w:sz="4" w:space="0" w:color="auto"/>
            </w:tcBorders>
            <w:shd w:val="clear" w:color="auto" w:fill="auto"/>
            <w:noWrap/>
            <w:vAlign w:val="center"/>
            <w:hideMark/>
          </w:tcPr>
          <w:p w14:paraId="6B5B99D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Río Negro</w:t>
            </w:r>
          </w:p>
        </w:tc>
        <w:tc>
          <w:tcPr>
            <w:tcW w:w="2126" w:type="dxa"/>
            <w:tcBorders>
              <w:top w:val="nil"/>
              <w:left w:val="nil"/>
              <w:bottom w:val="single" w:sz="4" w:space="0" w:color="auto"/>
              <w:right w:val="single" w:sz="4" w:space="0" w:color="auto"/>
            </w:tcBorders>
            <w:shd w:val="clear" w:color="auto" w:fill="auto"/>
            <w:noWrap/>
            <w:vAlign w:val="center"/>
            <w:hideMark/>
          </w:tcPr>
          <w:p w14:paraId="34297B1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Río Negro</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664CF64"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0,19</w:t>
            </w:r>
          </w:p>
        </w:tc>
      </w:tr>
      <w:tr w:rsidR="00B140C1" w:rsidRPr="009C497D" w14:paraId="2636E58E"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2A0A1B7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37</w:t>
            </w:r>
          </w:p>
        </w:tc>
        <w:tc>
          <w:tcPr>
            <w:tcW w:w="3827" w:type="dxa"/>
            <w:tcBorders>
              <w:top w:val="nil"/>
              <w:left w:val="nil"/>
              <w:bottom w:val="single" w:sz="4" w:space="0" w:color="auto"/>
              <w:right w:val="single" w:sz="4" w:space="0" w:color="auto"/>
            </w:tcBorders>
            <w:shd w:val="clear" w:color="auto" w:fill="auto"/>
            <w:noWrap/>
            <w:vAlign w:val="center"/>
            <w:hideMark/>
          </w:tcPr>
          <w:p w14:paraId="60CD71C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Lujan</w:t>
            </w:r>
          </w:p>
        </w:tc>
        <w:tc>
          <w:tcPr>
            <w:tcW w:w="2126" w:type="dxa"/>
            <w:tcBorders>
              <w:top w:val="nil"/>
              <w:left w:val="nil"/>
              <w:bottom w:val="single" w:sz="4" w:space="0" w:color="auto"/>
              <w:right w:val="single" w:sz="4" w:space="0" w:color="auto"/>
            </w:tcBorders>
            <w:shd w:val="clear" w:color="auto" w:fill="auto"/>
            <w:noWrap/>
            <w:vAlign w:val="center"/>
            <w:hideMark/>
          </w:tcPr>
          <w:p w14:paraId="44940584"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DA4615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0,19</w:t>
            </w:r>
          </w:p>
        </w:tc>
      </w:tr>
      <w:tr w:rsidR="00B140C1" w:rsidRPr="009C497D" w14:paraId="765C2173"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23112CD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38</w:t>
            </w:r>
          </w:p>
        </w:tc>
        <w:tc>
          <w:tcPr>
            <w:tcW w:w="3827" w:type="dxa"/>
            <w:tcBorders>
              <w:top w:val="nil"/>
              <w:left w:val="nil"/>
              <w:bottom w:val="single" w:sz="4" w:space="0" w:color="auto"/>
              <w:right w:val="single" w:sz="4" w:space="0" w:color="auto"/>
            </w:tcBorders>
            <w:shd w:val="clear" w:color="auto" w:fill="auto"/>
            <w:noWrap/>
            <w:vAlign w:val="center"/>
            <w:hideMark/>
          </w:tcPr>
          <w:p w14:paraId="64F0F23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Tres de Febrero</w:t>
            </w:r>
          </w:p>
        </w:tc>
        <w:tc>
          <w:tcPr>
            <w:tcW w:w="2126" w:type="dxa"/>
            <w:tcBorders>
              <w:top w:val="nil"/>
              <w:left w:val="nil"/>
              <w:bottom w:val="single" w:sz="4" w:space="0" w:color="auto"/>
              <w:right w:val="single" w:sz="4" w:space="0" w:color="auto"/>
            </w:tcBorders>
            <w:shd w:val="clear" w:color="auto" w:fill="auto"/>
            <w:noWrap/>
            <w:vAlign w:val="center"/>
            <w:hideMark/>
          </w:tcPr>
          <w:p w14:paraId="0A88185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21AB9F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0,17</w:t>
            </w:r>
          </w:p>
        </w:tc>
      </w:tr>
      <w:tr w:rsidR="00B140C1" w:rsidRPr="009C497D" w14:paraId="66F614FB"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477C1CE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39</w:t>
            </w:r>
          </w:p>
        </w:tc>
        <w:tc>
          <w:tcPr>
            <w:tcW w:w="3827" w:type="dxa"/>
            <w:tcBorders>
              <w:top w:val="nil"/>
              <w:left w:val="nil"/>
              <w:bottom w:val="single" w:sz="4" w:space="0" w:color="auto"/>
              <w:right w:val="single" w:sz="4" w:space="0" w:color="auto"/>
            </w:tcBorders>
            <w:shd w:val="clear" w:color="auto" w:fill="auto"/>
            <w:noWrap/>
            <w:vAlign w:val="center"/>
            <w:hideMark/>
          </w:tcPr>
          <w:p w14:paraId="7F6CD75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Gral. Sarmiento</w:t>
            </w:r>
          </w:p>
        </w:tc>
        <w:tc>
          <w:tcPr>
            <w:tcW w:w="2126" w:type="dxa"/>
            <w:tcBorders>
              <w:top w:val="nil"/>
              <w:left w:val="nil"/>
              <w:bottom w:val="single" w:sz="4" w:space="0" w:color="auto"/>
              <w:right w:val="single" w:sz="4" w:space="0" w:color="auto"/>
            </w:tcBorders>
            <w:shd w:val="clear" w:color="auto" w:fill="auto"/>
            <w:noWrap/>
            <w:vAlign w:val="center"/>
            <w:hideMark/>
          </w:tcPr>
          <w:p w14:paraId="0D8E7BF4"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E35F49E"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0,15</w:t>
            </w:r>
          </w:p>
        </w:tc>
      </w:tr>
      <w:tr w:rsidR="00B140C1" w:rsidRPr="009C497D" w14:paraId="58D80922"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098FDB3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40</w:t>
            </w:r>
          </w:p>
        </w:tc>
        <w:tc>
          <w:tcPr>
            <w:tcW w:w="3827" w:type="dxa"/>
            <w:tcBorders>
              <w:top w:val="nil"/>
              <w:left w:val="nil"/>
              <w:bottom w:val="single" w:sz="4" w:space="0" w:color="auto"/>
              <w:right w:val="single" w:sz="4" w:space="0" w:color="auto"/>
            </w:tcBorders>
            <w:shd w:val="clear" w:color="auto" w:fill="auto"/>
            <w:noWrap/>
            <w:vAlign w:val="center"/>
            <w:hideMark/>
          </w:tcPr>
          <w:p w14:paraId="6EDAAF3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Moreno</w:t>
            </w:r>
          </w:p>
        </w:tc>
        <w:tc>
          <w:tcPr>
            <w:tcW w:w="2126" w:type="dxa"/>
            <w:tcBorders>
              <w:top w:val="nil"/>
              <w:left w:val="nil"/>
              <w:bottom w:val="single" w:sz="4" w:space="0" w:color="auto"/>
              <w:right w:val="single" w:sz="4" w:space="0" w:color="auto"/>
            </w:tcBorders>
            <w:shd w:val="clear" w:color="auto" w:fill="auto"/>
            <w:noWrap/>
            <w:vAlign w:val="center"/>
            <w:hideMark/>
          </w:tcPr>
          <w:p w14:paraId="5681AF9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83949F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0,15</w:t>
            </w:r>
          </w:p>
        </w:tc>
      </w:tr>
      <w:tr w:rsidR="00B140C1" w:rsidRPr="009C497D" w14:paraId="0A606B31"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72E34D37"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41</w:t>
            </w:r>
          </w:p>
        </w:tc>
        <w:tc>
          <w:tcPr>
            <w:tcW w:w="3827" w:type="dxa"/>
            <w:tcBorders>
              <w:top w:val="nil"/>
              <w:left w:val="nil"/>
              <w:bottom w:val="single" w:sz="4" w:space="0" w:color="auto"/>
              <w:right w:val="single" w:sz="4" w:space="0" w:color="auto"/>
            </w:tcBorders>
            <w:shd w:val="clear" w:color="auto" w:fill="auto"/>
            <w:noWrap/>
            <w:vAlign w:val="center"/>
            <w:hideMark/>
          </w:tcPr>
          <w:p w14:paraId="15163E74"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Artes</w:t>
            </w:r>
          </w:p>
        </w:tc>
        <w:tc>
          <w:tcPr>
            <w:tcW w:w="2126" w:type="dxa"/>
            <w:tcBorders>
              <w:top w:val="nil"/>
              <w:left w:val="nil"/>
              <w:bottom w:val="single" w:sz="4" w:space="0" w:color="auto"/>
              <w:right w:val="single" w:sz="4" w:space="0" w:color="auto"/>
            </w:tcBorders>
            <w:shd w:val="clear" w:color="auto" w:fill="auto"/>
            <w:noWrap/>
            <w:vAlign w:val="center"/>
            <w:hideMark/>
          </w:tcPr>
          <w:p w14:paraId="1166AB34"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AC2B32C"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0,13</w:t>
            </w:r>
          </w:p>
        </w:tc>
      </w:tr>
      <w:tr w:rsidR="00B140C1" w:rsidRPr="009C497D" w14:paraId="0B1D3360"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2FFCDFD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42</w:t>
            </w:r>
          </w:p>
        </w:tc>
        <w:tc>
          <w:tcPr>
            <w:tcW w:w="3827" w:type="dxa"/>
            <w:tcBorders>
              <w:top w:val="nil"/>
              <w:left w:val="nil"/>
              <w:bottom w:val="single" w:sz="4" w:space="0" w:color="auto"/>
              <w:right w:val="single" w:sz="4" w:space="0" w:color="auto"/>
            </w:tcBorders>
            <w:shd w:val="clear" w:color="auto" w:fill="auto"/>
            <w:noWrap/>
            <w:vAlign w:val="center"/>
            <w:hideMark/>
          </w:tcPr>
          <w:p w14:paraId="1324E97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Hurlingham</w:t>
            </w:r>
          </w:p>
        </w:tc>
        <w:tc>
          <w:tcPr>
            <w:tcW w:w="2126" w:type="dxa"/>
            <w:tcBorders>
              <w:top w:val="nil"/>
              <w:left w:val="nil"/>
              <w:bottom w:val="single" w:sz="4" w:space="0" w:color="auto"/>
              <w:right w:val="single" w:sz="4" w:space="0" w:color="auto"/>
            </w:tcBorders>
            <w:shd w:val="clear" w:color="auto" w:fill="auto"/>
            <w:noWrap/>
            <w:vAlign w:val="center"/>
            <w:hideMark/>
          </w:tcPr>
          <w:p w14:paraId="0A1C6AD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F3ABACC"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0,11</w:t>
            </w:r>
          </w:p>
        </w:tc>
      </w:tr>
      <w:tr w:rsidR="00B140C1" w:rsidRPr="009C497D" w14:paraId="4138AF0B"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7A48A8B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43</w:t>
            </w:r>
          </w:p>
        </w:tc>
        <w:tc>
          <w:tcPr>
            <w:tcW w:w="3827" w:type="dxa"/>
            <w:tcBorders>
              <w:top w:val="nil"/>
              <w:left w:val="nil"/>
              <w:bottom w:val="single" w:sz="4" w:space="0" w:color="auto"/>
              <w:right w:val="single" w:sz="4" w:space="0" w:color="auto"/>
            </w:tcBorders>
            <w:shd w:val="clear" w:color="auto" w:fill="auto"/>
            <w:noWrap/>
            <w:vAlign w:val="center"/>
            <w:hideMark/>
          </w:tcPr>
          <w:p w14:paraId="507E43B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Villa Mercedes</w:t>
            </w:r>
          </w:p>
        </w:tc>
        <w:tc>
          <w:tcPr>
            <w:tcW w:w="2126" w:type="dxa"/>
            <w:tcBorders>
              <w:top w:val="nil"/>
              <w:left w:val="nil"/>
              <w:bottom w:val="single" w:sz="4" w:space="0" w:color="auto"/>
              <w:right w:val="single" w:sz="4" w:space="0" w:color="auto"/>
            </w:tcBorders>
            <w:shd w:val="clear" w:color="auto" w:fill="auto"/>
            <w:noWrap/>
            <w:vAlign w:val="center"/>
            <w:hideMark/>
          </w:tcPr>
          <w:p w14:paraId="16F86A1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 Luis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309FCE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0,10</w:t>
            </w:r>
          </w:p>
        </w:tc>
      </w:tr>
      <w:tr w:rsidR="00B140C1" w:rsidRPr="009C497D" w14:paraId="31FF5BBB"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6A0138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44</w:t>
            </w:r>
          </w:p>
        </w:tc>
        <w:tc>
          <w:tcPr>
            <w:tcW w:w="3827" w:type="dxa"/>
            <w:tcBorders>
              <w:top w:val="nil"/>
              <w:left w:val="nil"/>
              <w:bottom w:val="single" w:sz="4" w:space="0" w:color="auto"/>
              <w:right w:val="single" w:sz="4" w:space="0" w:color="auto"/>
            </w:tcBorders>
            <w:shd w:val="clear" w:color="auto" w:fill="auto"/>
            <w:noWrap/>
            <w:vAlign w:val="center"/>
            <w:hideMark/>
          </w:tcPr>
          <w:p w14:paraId="36194C4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Jujuy</w:t>
            </w:r>
          </w:p>
        </w:tc>
        <w:tc>
          <w:tcPr>
            <w:tcW w:w="2126" w:type="dxa"/>
            <w:tcBorders>
              <w:top w:val="nil"/>
              <w:left w:val="nil"/>
              <w:bottom w:val="single" w:sz="4" w:space="0" w:color="auto"/>
              <w:right w:val="single" w:sz="4" w:space="0" w:color="auto"/>
            </w:tcBorders>
            <w:shd w:val="clear" w:color="auto" w:fill="auto"/>
            <w:noWrap/>
            <w:vAlign w:val="center"/>
            <w:hideMark/>
          </w:tcPr>
          <w:p w14:paraId="038F0DE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Jujuy</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2159B9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0,10</w:t>
            </w:r>
          </w:p>
        </w:tc>
      </w:tr>
      <w:tr w:rsidR="00B140C1" w:rsidRPr="009C497D" w14:paraId="3DE2C772"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2C6EE74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45</w:t>
            </w:r>
          </w:p>
        </w:tc>
        <w:tc>
          <w:tcPr>
            <w:tcW w:w="3827" w:type="dxa"/>
            <w:tcBorders>
              <w:top w:val="nil"/>
              <w:left w:val="nil"/>
              <w:bottom w:val="single" w:sz="4" w:space="0" w:color="auto"/>
              <w:right w:val="single" w:sz="4" w:space="0" w:color="auto"/>
            </w:tcBorders>
            <w:shd w:val="clear" w:color="auto" w:fill="auto"/>
            <w:noWrap/>
            <w:vAlign w:val="center"/>
            <w:hideMark/>
          </w:tcPr>
          <w:p w14:paraId="35AB8089"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Patagonia Austral</w:t>
            </w:r>
          </w:p>
        </w:tc>
        <w:tc>
          <w:tcPr>
            <w:tcW w:w="2126" w:type="dxa"/>
            <w:tcBorders>
              <w:top w:val="nil"/>
              <w:left w:val="nil"/>
              <w:bottom w:val="single" w:sz="4" w:space="0" w:color="auto"/>
              <w:right w:val="single" w:sz="4" w:space="0" w:color="auto"/>
            </w:tcBorders>
            <w:shd w:val="clear" w:color="auto" w:fill="auto"/>
            <w:noWrap/>
            <w:vAlign w:val="center"/>
            <w:hideMark/>
          </w:tcPr>
          <w:p w14:paraId="0F6ED74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Santa Cruz</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A45413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0,10</w:t>
            </w:r>
          </w:p>
        </w:tc>
      </w:tr>
      <w:tr w:rsidR="00B140C1" w:rsidRPr="009C497D" w14:paraId="29349BD1"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400A47A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46</w:t>
            </w:r>
          </w:p>
        </w:tc>
        <w:tc>
          <w:tcPr>
            <w:tcW w:w="3827" w:type="dxa"/>
            <w:tcBorders>
              <w:top w:val="nil"/>
              <w:left w:val="nil"/>
              <w:bottom w:val="single" w:sz="4" w:space="0" w:color="auto"/>
              <w:right w:val="single" w:sz="4" w:space="0" w:color="auto"/>
            </w:tcBorders>
            <w:shd w:val="clear" w:color="auto" w:fill="auto"/>
            <w:noWrap/>
            <w:vAlign w:val="center"/>
            <w:hideMark/>
          </w:tcPr>
          <w:p w14:paraId="656C2A2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Oeste</w:t>
            </w:r>
          </w:p>
        </w:tc>
        <w:tc>
          <w:tcPr>
            <w:tcW w:w="2126" w:type="dxa"/>
            <w:tcBorders>
              <w:top w:val="nil"/>
              <w:left w:val="nil"/>
              <w:bottom w:val="single" w:sz="4" w:space="0" w:color="auto"/>
              <w:right w:val="single" w:sz="4" w:space="0" w:color="auto"/>
            </w:tcBorders>
            <w:shd w:val="clear" w:color="auto" w:fill="auto"/>
            <w:noWrap/>
            <w:vAlign w:val="center"/>
            <w:hideMark/>
          </w:tcPr>
          <w:p w14:paraId="0199515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1D23B2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0,08</w:t>
            </w:r>
          </w:p>
        </w:tc>
      </w:tr>
      <w:tr w:rsidR="00B140C1" w:rsidRPr="009C497D" w14:paraId="3FAFE657"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624A72F8"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47</w:t>
            </w:r>
          </w:p>
        </w:tc>
        <w:tc>
          <w:tcPr>
            <w:tcW w:w="3827" w:type="dxa"/>
            <w:tcBorders>
              <w:top w:val="nil"/>
              <w:left w:val="nil"/>
              <w:bottom w:val="single" w:sz="4" w:space="0" w:color="auto"/>
              <w:right w:val="single" w:sz="4" w:space="0" w:color="auto"/>
            </w:tcBorders>
            <w:shd w:val="clear" w:color="auto" w:fill="auto"/>
            <w:noWrap/>
            <w:vAlign w:val="center"/>
            <w:hideMark/>
          </w:tcPr>
          <w:p w14:paraId="5D29905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Arturo Jauretche</w:t>
            </w:r>
          </w:p>
        </w:tc>
        <w:tc>
          <w:tcPr>
            <w:tcW w:w="2126" w:type="dxa"/>
            <w:tcBorders>
              <w:top w:val="nil"/>
              <w:left w:val="nil"/>
              <w:bottom w:val="single" w:sz="4" w:space="0" w:color="auto"/>
              <w:right w:val="single" w:sz="4" w:space="0" w:color="auto"/>
            </w:tcBorders>
            <w:shd w:val="clear" w:color="auto" w:fill="auto"/>
            <w:noWrap/>
            <w:vAlign w:val="center"/>
            <w:hideMark/>
          </w:tcPr>
          <w:p w14:paraId="1E92A02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A162C5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0,05</w:t>
            </w:r>
          </w:p>
        </w:tc>
      </w:tr>
      <w:tr w:rsidR="00B140C1" w:rsidRPr="009C497D" w14:paraId="58226C4E"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A245E4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48</w:t>
            </w:r>
          </w:p>
        </w:tc>
        <w:tc>
          <w:tcPr>
            <w:tcW w:w="3827" w:type="dxa"/>
            <w:tcBorders>
              <w:top w:val="nil"/>
              <w:left w:val="nil"/>
              <w:bottom w:val="single" w:sz="4" w:space="0" w:color="auto"/>
              <w:right w:val="single" w:sz="4" w:space="0" w:color="auto"/>
            </w:tcBorders>
            <w:shd w:val="clear" w:color="auto" w:fill="auto"/>
            <w:noWrap/>
            <w:vAlign w:val="center"/>
            <w:hideMark/>
          </w:tcPr>
          <w:p w14:paraId="40411532"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Pedagógica</w:t>
            </w:r>
          </w:p>
        </w:tc>
        <w:tc>
          <w:tcPr>
            <w:tcW w:w="2126" w:type="dxa"/>
            <w:tcBorders>
              <w:top w:val="nil"/>
              <w:left w:val="nil"/>
              <w:bottom w:val="single" w:sz="4" w:space="0" w:color="auto"/>
              <w:right w:val="single" w:sz="4" w:space="0" w:color="auto"/>
            </w:tcBorders>
            <w:shd w:val="clear" w:color="auto" w:fill="auto"/>
            <w:noWrap/>
            <w:vAlign w:val="center"/>
            <w:hideMark/>
          </w:tcPr>
          <w:p w14:paraId="1BD6E56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E2A4EEC"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0,03</w:t>
            </w:r>
          </w:p>
        </w:tc>
      </w:tr>
      <w:tr w:rsidR="00B140C1" w:rsidRPr="009C497D" w14:paraId="50DEEFA2"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BA1CB7F"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49</w:t>
            </w:r>
          </w:p>
        </w:tc>
        <w:tc>
          <w:tcPr>
            <w:tcW w:w="3827" w:type="dxa"/>
            <w:tcBorders>
              <w:top w:val="nil"/>
              <w:left w:val="nil"/>
              <w:bottom w:val="single" w:sz="4" w:space="0" w:color="auto"/>
              <w:right w:val="single" w:sz="4" w:space="0" w:color="auto"/>
            </w:tcBorders>
            <w:shd w:val="clear" w:color="auto" w:fill="auto"/>
            <w:noWrap/>
            <w:vAlign w:val="center"/>
            <w:hideMark/>
          </w:tcPr>
          <w:p w14:paraId="490894D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Tierra del Fuego</w:t>
            </w:r>
          </w:p>
        </w:tc>
        <w:tc>
          <w:tcPr>
            <w:tcW w:w="2126" w:type="dxa"/>
            <w:tcBorders>
              <w:top w:val="nil"/>
              <w:left w:val="nil"/>
              <w:bottom w:val="single" w:sz="4" w:space="0" w:color="auto"/>
              <w:right w:val="single" w:sz="4" w:space="0" w:color="auto"/>
            </w:tcBorders>
            <w:shd w:val="clear" w:color="auto" w:fill="auto"/>
            <w:noWrap/>
            <w:vAlign w:val="center"/>
            <w:hideMark/>
          </w:tcPr>
          <w:p w14:paraId="6942BD7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Tierra del Fuego</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06A80E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0,03</w:t>
            </w:r>
          </w:p>
        </w:tc>
      </w:tr>
      <w:tr w:rsidR="00B140C1" w:rsidRPr="009C497D" w14:paraId="766B8666"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39C070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lastRenderedPageBreak/>
              <w:t>50</w:t>
            </w:r>
          </w:p>
        </w:tc>
        <w:tc>
          <w:tcPr>
            <w:tcW w:w="3827" w:type="dxa"/>
            <w:tcBorders>
              <w:top w:val="nil"/>
              <w:left w:val="nil"/>
              <w:bottom w:val="single" w:sz="4" w:space="0" w:color="auto"/>
              <w:right w:val="single" w:sz="4" w:space="0" w:color="auto"/>
            </w:tcBorders>
            <w:shd w:val="clear" w:color="auto" w:fill="auto"/>
            <w:noWrap/>
            <w:vAlign w:val="center"/>
            <w:hideMark/>
          </w:tcPr>
          <w:p w14:paraId="63C63D9B"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Avellaneda</w:t>
            </w:r>
          </w:p>
        </w:tc>
        <w:tc>
          <w:tcPr>
            <w:tcW w:w="2126" w:type="dxa"/>
            <w:tcBorders>
              <w:top w:val="nil"/>
              <w:left w:val="nil"/>
              <w:bottom w:val="single" w:sz="4" w:space="0" w:color="auto"/>
              <w:right w:val="single" w:sz="4" w:space="0" w:color="auto"/>
            </w:tcBorders>
            <w:shd w:val="clear" w:color="auto" w:fill="auto"/>
            <w:noWrap/>
            <w:vAlign w:val="center"/>
            <w:hideMark/>
          </w:tcPr>
          <w:p w14:paraId="473647A3"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8671A6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0,03</w:t>
            </w:r>
          </w:p>
        </w:tc>
      </w:tr>
      <w:tr w:rsidR="00B140C1" w:rsidRPr="009C497D" w14:paraId="23DA3C93"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60FF9BC"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51</w:t>
            </w:r>
          </w:p>
        </w:tc>
        <w:tc>
          <w:tcPr>
            <w:tcW w:w="3827" w:type="dxa"/>
            <w:tcBorders>
              <w:top w:val="nil"/>
              <w:left w:val="nil"/>
              <w:bottom w:val="single" w:sz="4" w:space="0" w:color="auto"/>
              <w:right w:val="single" w:sz="4" w:space="0" w:color="auto"/>
            </w:tcBorders>
            <w:shd w:val="clear" w:color="auto" w:fill="auto"/>
            <w:noWrap/>
            <w:vAlign w:val="center"/>
            <w:hideMark/>
          </w:tcPr>
          <w:p w14:paraId="7DEC4C61"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Rafaela</w:t>
            </w:r>
          </w:p>
        </w:tc>
        <w:tc>
          <w:tcPr>
            <w:tcW w:w="2126" w:type="dxa"/>
            <w:tcBorders>
              <w:top w:val="nil"/>
              <w:left w:val="nil"/>
              <w:bottom w:val="single" w:sz="4" w:space="0" w:color="auto"/>
              <w:right w:val="single" w:sz="4" w:space="0" w:color="auto"/>
            </w:tcBorders>
            <w:shd w:val="clear" w:color="auto" w:fill="auto"/>
            <w:noWrap/>
            <w:vAlign w:val="center"/>
            <w:hideMark/>
          </w:tcPr>
          <w:p w14:paraId="6D3B1015"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Santa Fe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DE4F6BC"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w:t>
            </w:r>
          </w:p>
        </w:tc>
      </w:tr>
      <w:tr w:rsidR="00B140C1" w:rsidRPr="009C497D" w14:paraId="0FF45ECF" w14:textId="77777777" w:rsidTr="00B140C1">
        <w:trPr>
          <w:trHeight w:val="30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0652A8AD"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52</w:t>
            </w:r>
          </w:p>
        </w:tc>
        <w:tc>
          <w:tcPr>
            <w:tcW w:w="3827" w:type="dxa"/>
            <w:tcBorders>
              <w:top w:val="nil"/>
              <w:left w:val="nil"/>
              <w:bottom w:val="single" w:sz="4" w:space="0" w:color="auto"/>
              <w:right w:val="single" w:sz="4" w:space="0" w:color="auto"/>
            </w:tcBorders>
            <w:shd w:val="clear" w:color="auto" w:fill="auto"/>
            <w:noWrap/>
            <w:vAlign w:val="center"/>
            <w:hideMark/>
          </w:tcPr>
          <w:p w14:paraId="2C1D9D16"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San Antonio de Areco</w:t>
            </w:r>
          </w:p>
        </w:tc>
        <w:tc>
          <w:tcPr>
            <w:tcW w:w="2126" w:type="dxa"/>
            <w:tcBorders>
              <w:top w:val="nil"/>
              <w:left w:val="nil"/>
              <w:bottom w:val="single" w:sz="4" w:space="0" w:color="auto"/>
              <w:right w:val="single" w:sz="4" w:space="0" w:color="auto"/>
            </w:tcBorders>
            <w:shd w:val="clear" w:color="auto" w:fill="auto"/>
            <w:noWrap/>
            <w:vAlign w:val="center"/>
            <w:hideMark/>
          </w:tcPr>
          <w:p w14:paraId="07201D3A"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Buenos Aires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60DF170" w14:textId="77777777" w:rsidR="00B140C1" w:rsidRPr="009C497D" w:rsidRDefault="00B140C1" w:rsidP="009C497D">
            <w:pPr>
              <w:spacing w:after="0" w:line="240" w:lineRule="auto"/>
              <w:jc w:val="both"/>
              <w:rPr>
                <w:rFonts w:eastAsia="Times New Roman" w:cstheme="minorHAnsi"/>
                <w:color w:val="000000"/>
                <w:sz w:val="20"/>
                <w:szCs w:val="20"/>
                <w:lang w:eastAsia="es-AR"/>
              </w:rPr>
            </w:pPr>
            <w:r w:rsidRPr="009C497D">
              <w:rPr>
                <w:rFonts w:eastAsia="Times New Roman" w:cstheme="minorHAnsi"/>
                <w:color w:val="000000"/>
                <w:sz w:val="20"/>
                <w:szCs w:val="20"/>
                <w:lang w:eastAsia="es-AR"/>
              </w:rPr>
              <w:t>-</w:t>
            </w:r>
          </w:p>
        </w:tc>
      </w:tr>
    </w:tbl>
    <w:p w14:paraId="0BF249A0" w14:textId="3DC9BBE7" w:rsidR="00DC2590" w:rsidRPr="009C497D" w:rsidRDefault="00F26DC3" w:rsidP="009C497D">
      <w:pPr>
        <w:autoSpaceDE w:val="0"/>
        <w:autoSpaceDN w:val="0"/>
        <w:adjustRightInd w:val="0"/>
        <w:spacing w:after="0" w:line="240" w:lineRule="auto"/>
        <w:jc w:val="both"/>
        <w:rPr>
          <w:rFonts w:cstheme="minorHAnsi"/>
          <w:bCs/>
          <w:sz w:val="20"/>
          <w:szCs w:val="20"/>
        </w:rPr>
      </w:pPr>
      <w:r w:rsidRPr="009C497D">
        <w:rPr>
          <w:rFonts w:eastAsia="Times New Roman" w:cstheme="minorHAnsi"/>
          <w:bCs/>
          <w:sz w:val="20"/>
          <w:szCs w:val="20"/>
          <w:lang w:eastAsia="es-AR"/>
        </w:rPr>
        <w:t>Tabla 4: Ranking de eficiencia en egresados. Resultados de 52 universidades públicas</w:t>
      </w:r>
      <w:r w:rsidR="009C497D" w:rsidRPr="009C497D">
        <w:rPr>
          <w:rFonts w:cstheme="minorHAnsi"/>
          <w:bCs/>
          <w:sz w:val="20"/>
          <w:szCs w:val="20"/>
        </w:rPr>
        <w:t xml:space="preserve">. </w:t>
      </w:r>
      <w:r w:rsidR="00DC2590" w:rsidRPr="009C497D">
        <w:rPr>
          <w:rFonts w:cstheme="minorHAnsi"/>
          <w:bCs/>
          <w:sz w:val="20"/>
          <w:szCs w:val="20"/>
        </w:rPr>
        <w:t>Fuente: Elaboración propia</w:t>
      </w:r>
    </w:p>
    <w:p w14:paraId="68FF24F6" w14:textId="77777777" w:rsidR="005B2FD3" w:rsidRPr="00755B91" w:rsidRDefault="005B2FD3" w:rsidP="00755B91">
      <w:pPr>
        <w:spacing w:after="0" w:line="360" w:lineRule="auto"/>
        <w:jc w:val="both"/>
        <w:rPr>
          <w:rFonts w:cstheme="minorHAnsi"/>
          <w:b/>
        </w:rPr>
      </w:pPr>
    </w:p>
    <w:p w14:paraId="1F39E728" w14:textId="2FB833DF" w:rsidR="005B28B1" w:rsidRPr="00755B91" w:rsidRDefault="00966CD9" w:rsidP="00660B15">
      <w:pPr>
        <w:spacing w:after="0" w:line="360" w:lineRule="auto"/>
        <w:ind w:firstLine="284"/>
        <w:jc w:val="both"/>
        <w:rPr>
          <w:rFonts w:cstheme="minorHAnsi"/>
          <w:b/>
        </w:rPr>
      </w:pPr>
      <w:r w:rsidRPr="00755B91">
        <w:rPr>
          <w:rFonts w:cstheme="minorHAnsi"/>
          <w:b/>
        </w:rPr>
        <w:t>Conclusiones</w:t>
      </w:r>
    </w:p>
    <w:p w14:paraId="0B65B1B1" w14:textId="325B8D17" w:rsidR="00014ED3" w:rsidRPr="00660B15" w:rsidRDefault="0030685D" w:rsidP="00660B15">
      <w:pPr>
        <w:spacing w:after="0" w:line="360" w:lineRule="auto"/>
        <w:ind w:firstLine="567"/>
        <w:jc w:val="both"/>
        <w:rPr>
          <w:rFonts w:cstheme="minorHAnsi"/>
          <w:strike/>
          <w:lang w:val="es-ES_tradnl"/>
        </w:rPr>
      </w:pPr>
      <w:r w:rsidRPr="00660B15">
        <w:rPr>
          <w:rFonts w:cstheme="minorHAnsi"/>
          <w:lang w:val="es-ES_tradnl"/>
        </w:rPr>
        <w:t>Para l</w:t>
      </w:r>
      <w:r w:rsidR="00C6695A" w:rsidRPr="00660B15">
        <w:rPr>
          <w:rFonts w:cstheme="minorHAnsi"/>
          <w:lang w:val="es-ES_tradnl"/>
        </w:rPr>
        <w:t xml:space="preserve">a evaluación de la eficiencia de la inversión </w:t>
      </w:r>
      <w:r w:rsidR="00DB1E3F" w:rsidRPr="00660B15">
        <w:rPr>
          <w:rFonts w:cstheme="minorHAnsi"/>
          <w:lang w:val="es-ES_tradnl"/>
        </w:rPr>
        <w:t>pública</w:t>
      </w:r>
      <w:r w:rsidR="00DB1E3F" w:rsidRPr="00660B15">
        <w:rPr>
          <w:rFonts w:cstheme="minorHAnsi"/>
          <w:b/>
          <w:lang w:val="es-ES_tradnl"/>
        </w:rPr>
        <w:t xml:space="preserve"> </w:t>
      </w:r>
      <w:r w:rsidR="00C6695A" w:rsidRPr="00660B15">
        <w:rPr>
          <w:rFonts w:cstheme="minorHAnsi"/>
          <w:lang w:val="es-ES_tradnl"/>
        </w:rPr>
        <w:t xml:space="preserve">en </w:t>
      </w:r>
      <w:r w:rsidR="00B94AAB" w:rsidRPr="00660B15">
        <w:rPr>
          <w:rFonts w:cstheme="minorHAnsi"/>
          <w:lang w:val="es-ES_tradnl"/>
        </w:rPr>
        <w:t>la partida</w:t>
      </w:r>
      <w:r w:rsidR="00C6695A" w:rsidRPr="00660B15">
        <w:rPr>
          <w:rFonts w:cstheme="minorHAnsi"/>
          <w:lang w:val="es-ES_tradnl"/>
        </w:rPr>
        <w:t xml:space="preserve"> “Personal” </w:t>
      </w:r>
      <w:r w:rsidRPr="00660B15">
        <w:rPr>
          <w:rFonts w:cstheme="minorHAnsi"/>
          <w:lang w:val="es-ES_tradnl"/>
        </w:rPr>
        <w:t xml:space="preserve">se </w:t>
      </w:r>
      <w:r w:rsidR="00014ED3" w:rsidRPr="00660B15">
        <w:rPr>
          <w:rFonts w:cstheme="minorHAnsi"/>
          <w:lang w:val="es-ES_tradnl"/>
        </w:rPr>
        <w:t xml:space="preserve">analizan </w:t>
      </w:r>
      <w:r w:rsidR="003D1327" w:rsidRPr="00660B15">
        <w:rPr>
          <w:rFonts w:cstheme="minorHAnsi"/>
          <w:lang w:val="es-ES_tradnl"/>
        </w:rPr>
        <w:t xml:space="preserve">finalmente </w:t>
      </w:r>
      <w:r w:rsidR="00014ED3" w:rsidRPr="00660B15">
        <w:rPr>
          <w:rFonts w:cstheme="minorHAnsi"/>
          <w:lang w:val="es-ES_tradnl"/>
        </w:rPr>
        <w:t>52</w:t>
      </w:r>
      <w:r w:rsidR="002E4386" w:rsidRPr="00660B15">
        <w:rPr>
          <w:rFonts w:cstheme="minorHAnsi"/>
          <w:lang w:val="es-ES_tradnl"/>
        </w:rPr>
        <w:t xml:space="preserve"> universidades </w:t>
      </w:r>
      <w:r w:rsidR="00740325" w:rsidRPr="00660B15">
        <w:rPr>
          <w:rFonts w:cstheme="minorHAnsi"/>
          <w:lang w:val="es-ES_tradnl"/>
        </w:rPr>
        <w:t>del Sistema Universitario Público de Argentina</w:t>
      </w:r>
      <w:r w:rsidR="003D1327" w:rsidRPr="00660B15">
        <w:rPr>
          <w:rFonts w:cstheme="minorHAnsi"/>
          <w:lang w:val="es-ES_tradnl"/>
        </w:rPr>
        <w:t>, aplicándose</w:t>
      </w:r>
      <w:r w:rsidR="00476F47" w:rsidRPr="00660B15">
        <w:rPr>
          <w:rFonts w:cstheme="minorHAnsi"/>
          <w:lang w:val="es-ES_tradnl"/>
        </w:rPr>
        <w:t xml:space="preserve"> la metodología del Análisis Envolvente de Datos (DEA) para determinar los índices de eficiencia de cada</w:t>
      </w:r>
      <w:r w:rsidR="00536E98" w:rsidRPr="00660B15">
        <w:rPr>
          <w:rFonts w:cstheme="minorHAnsi"/>
          <w:lang w:val="es-ES_tradnl"/>
        </w:rPr>
        <w:t xml:space="preserve"> </w:t>
      </w:r>
      <w:r w:rsidRPr="00660B15">
        <w:rPr>
          <w:rFonts w:cstheme="minorHAnsi"/>
          <w:lang w:val="es-ES_tradnl"/>
        </w:rPr>
        <w:t xml:space="preserve">universidad </w:t>
      </w:r>
      <w:r w:rsidR="00476F47" w:rsidRPr="00660B15">
        <w:rPr>
          <w:rFonts w:cstheme="minorHAnsi"/>
          <w:lang w:val="es-ES_tradnl"/>
        </w:rPr>
        <w:t>de la mu</w:t>
      </w:r>
      <w:r w:rsidR="00DD6003" w:rsidRPr="00660B15">
        <w:rPr>
          <w:rFonts w:cstheme="minorHAnsi"/>
          <w:lang w:val="es-ES_tradnl"/>
        </w:rPr>
        <w:t>e</w:t>
      </w:r>
      <w:r w:rsidR="002757A6" w:rsidRPr="00660B15">
        <w:rPr>
          <w:rFonts w:cstheme="minorHAnsi"/>
          <w:lang w:val="es-ES_tradnl"/>
        </w:rPr>
        <w:t>stra</w:t>
      </w:r>
      <w:r w:rsidR="00014ED3" w:rsidRPr="00660B15">
        <w:rPr>
          <w:rFonts w:cstheme="minorHAnsi"/>
          <w:lang w:val="es-ES_tradnl"/>
        </w:rPr>
        <w:t xml:space="preserve">, </w:t>
      </w:r>
      <w:r w:rsidR="00966CD9" w:rsidRPr="00660B15">
        <w:rPr>
          <w:rFonts w:cstheme="minorHAnsi"/>
          <w:lang w:val="es-ES_tradnl"/>
        </w:rPr>
        <w:t>en relación con el</w:t>
      </w:r>
      <w:r w:rsidR="00014ED3" w:rsidRPr="00660B15">
        <w:rPr>
          <w:rFonts w:cstheme="minorHAnsi"/>
          <w:lang w:val="es-ES_tradnl"/>
        </w:rPr>
        <w:t xml:space="preserve"> “output” e</w:t>
      </w:r>
      <w:r w:rsidR="00043ABB" w:rsidRPr="00660B15">
        <w:rPr>
          <w:rFonts w:cstheme="minorHAnsi"/>
          <w:lang w:val="es-ES_tradnl"/>
        </w:rPr>
        <w:t>gresados.</w:t>
      </w:r>
      <w:r w:rsidR="002757A6" w:rsidRPr="00660B15">
        <w:rPr>
          <w:rFonts w:cstheme="minorHAnsi"/>
          <w:lang w:val="es-ES_tradnl"/>
        </w:rPr>
        <w:t xml:space="preserve"> </w:t>
      </w:r>
    </w:p>
    <w:p w14:paraId="575E83B4" w14:textId="77777777" w:rsidR="00DB1E3F" w:rsidRPr="00660B15" w:rsidRDefault="00B0599D" w:rsidP="00660B15">
      <w:pPr>
        <w:spacing w:after="0" w:line="360" w:lineRule="auto"/>
        <w:ind w:firstLine="567"/>
        <w:jc w:val="both"/>
        <w:rPr>
          <w:rFonts w:cstheme="minorHAnsi"/>
          <w:lang w:val="es-ES_tradnl"/>
        </w:rPr>
      </w:pPr>
      <w:r w:rsidRPr="00660B15">
        <w:rPr>
          <w:rFonts w:cstheme="minorHAnsi"/>
        </w:rPr>
        <w:t xml:space="preserve">Se </w:t>
      </w:r>
      <w:r w:rsidR="00043ABB" w:rsidRPr="00660B15">
        <w:rPr>
          <w:rFonts w:cstheme="minorHAnsi"/>
        </w:rPr>
        <w:t>investiga en este artículo</w:t>
      </w:r>
      <w:r w:rsidRPr="00660B15">
        <w:rPr>
          <w:rFonts w:cstheme="minorHAnsi"/>
        </w:rPr>
        <w:t xml:space="preserve"> la partida </w:t>
      </w:r>
      <w:r w:rsidR="00043ABB" w:rsidRPr="00660B15">
        <w:rPr>
          <w:rFonts w:cstheme="minorHAnsi"/>
        </w:rPr>
        <w:t xml:space="preserve">presupuestaria de </w:t>
      </w:r>
      <w:r w:rsidRPr="00660B15">
        <w:rPr>
          <w:rFonts w:cstheme="minorHAnsi"/>
        </w:rPr>
        <w:t>“Personal” porque</w:t>
      </w:r>
      <w:r w:rsidR="00536E98" w:rsidRPr="00660B15">
        <w:rPr>
          <w:rFonts w:cstheme="minorHAnsi"/>
        </w:rPr>
        <w:t xml:space="preserve"> </w:t>
      </w:r>
      <w:r w:rsidRPr="00660B15">
        <w:rPr>
          <w:rFonts w:cstheme="minorHAnsi"/>
        </w:rPr>
        <w:t>el 80% del presupuesto de la universidad pública se destina a salarios y cargas sociales de</w:t>
      </w:r>
      <w:r w:rsidR="00DB1E3F" w:rsidRPr="00660B15">
        <w:rPr>
          <w:rFonts w:cstheme="minorHAnsi"/>
        </w:rPr>
        <w:t>l</w:t>
      </w:r>
      <w:r w:rsidRPr="00660B15">
        <w:rPr>
          <w:rFonts w:cstheme="minorHAnsi"/>
        </w:rPr>
        <w:t xml:space="preserve"> personal docente</w:t>
      </w:r>
      <w:r w:rsidR="00DB1E3F" w:rsidRPr="00660B15">
        <w:rPr>
          <w:rFonts w:cstheme="minorHAnsi"/>
        </w:rPr>
        <w:t>,</w:t>
      </w:r>
      <w:r w:rsidRPr="00660B15">
        <w:rPr>
          <w:rFonts w:cstheme="minorHAnsi"/>
        </w:rPr>
        <w:t xml:space="preserve"> no docente</w:t>
      </w:r>
      <w:r w:rsidR="00DB1E3F" w:rsidRPr="00660B15">
        <w:rPr>
          <w:rFonts w:cstheme="minorHAnsi"/>
        </w:rPr>
        <w:t xml:space="preserve"> y autoridades</w:t>
      </w:r>
      <w:r w:rsidR="00443C9A" w:rsidRPr="00660B15">
        <w:rPr>
          <w:rFonts w:cstheme="minorHAnsi"/>
          <w:lang w:val="es-ES_tradnl"/>
        </w:rPr>
        <w:t xml:space="preserve">. </w:t>
      </w:r>
    </w:p>
    <w:p w14:paraId="5FEF7744" w14:textId="77777777" w:rsidR="00443C9A" w:rsidRPr="00660B15" w:rsidRDefault="00443C9A" w:rsidP="00660B15">
      <w:pPr>
        <w:spacing w:after="0" w:line="360" w:lineRule="auto"/>
        <w:ind w:firstLine="567"/>
        <w:jc w:val="both"/>
        <w:rPr>
          <w:rFonts w:cstheme="minorHAnsi"/>
        </w:rPr>
      </w:pPr>
      <w:r w:rsidRPr="00660B15">
        <w:rPr>
          <w:rFonts w:cstheme="minorHAnsi"/>
          <w:lang w:val="es-ES_tradnl"/>
        </w:rPr>
        <w:t>Durante el año 201</w:t>
      </w:r>
      <w:r w:rsidR="00D211C6" w:rsidRPr="00660B15">
        <w:rPr>
          <w:rFonts w:cstheme="minorHAnsi"/>
          <w:lang w:val="es-ES_tradnl"/>
        </w:rPr>
        <w:t>8</w:t>
      </w:r>
      <w:r w:rsidRPr="00660B15">
        <w:rPr>
          <w:rFonts w:cstheme="minorHAnsi"/>
          <w:lang w:val="es-ES_tradnl"/>
        </w:rPr>
        <w:t xml:space="preserve"> la ejecución presupuestaria en </w:t>
      </w:r>
      <w:r w:rsidR="00DB1E3F" w:rsidRPr="00660B15">
        <w:rPr>
          <w:rFonts w:cstheme="minorHAnsi"/>
          <w:lang w:val="es-ES_tradnl"/>
        </w:rPr>
        <w:t xml:space="preserve">la partida </w:t>
      </w:r>
      <w:r w:rsidR="00043ABB" w:rsidRPr="00660B15">
        <w:rPr>
          <w:rFonts w:cstheme="minorHAnsi"/>
          <w:lang w:val="es-ES_tradnl"/>
        </w:rPr>
        <w:t xml:space="preserve">presupuestaria </w:t>
      </w:r>
      <w:r w:rsidR="00DB1E3F" w:rsidRPr="00660B15">
        <w:rPr>
          <w:rFonts w:cstheme="minorHAnsi"/>
          <w:lang w:val="es-ES_tradnl"/>
        </w:rPr>
        <w:t>de P</w:t>
      </w:r>
      <w:r w:rsidRPr="00660B15">
        <w:rPr>
          <w:rFonts w:cstheme="minorHAnsi"/>
          <w:lang w:val="es-ES_tradnl"/>
        </w:rPr>
        <w:t xml:space="preserve">ersonal representó </w:t>
      </w:r>
      <w:r w:rsidR="0030685D" w:rsidRPr="00660B15">
        <w:rPr>
          <w:rFonts w:cstheme="minorHAnsi"/>
          <w:lang w:val="es-ES_tradnl"/>
        </w:rPr>
        <w:t>el 7</w:t>
      </w:r>
      <w:r w:rsidR="00D4529F" w:rsidRPr="00660B15">
        <w:rPr>
          <w:rFonts w:cstheme="minorHAnsi"/>
          <w:lang w:val="es-ES_tradnl"/>
        </w:rPr>
        <w:t>7</w:t>
      </w:r>
      <w:r w:rsidR="0030685D" w:rsidRPr="00660B15">
        <w:rPr>
          <w:rFonts w:cstheme="minorHAnsi"/>
          <w:lang w:val="es-ES_tradnl"/>
        </w:rPr>
        <w:t>,</w:t>
      </w:r>
      <w:r w:rsidR="00D4529F" w:rsidRPr="00660B15">
        <w:rPr>
          <w:rFonts w:cstheme="minorHAnsi"/>
          <w:lang w:val="es-ES_tradnl"/>
        </w:rPr>
        <w:t>84</w:t>
      </w:r>
      <w:r w:rsidR="0030685D" w:rsidRPr="00660B15">
        <w:rPr>
          <w:rFonts w:cstheme="minorHAnsi"/>
          <w:lang w:val="es-ES_tradnl"/>
        </w:rPr>
        <w:t>%</w:t>
      </w:r>
      <w:r w:rsidRPr="00660B15">
        <w:rPr>
          <w:rFonts w:cstheme="minorHAnsi"/>
          <w:lang w:val="es-ES_tradnl"/>
        </w:rPr>
        <w:t xml:space="preserve"> del total del presupuesto ejecutado por las universidades públicas, </w:t>
      </w:r>
      <w:r w:rsidR="00DB1E3F" w:rsidRPr="00660B15">
        <w:rPr>
          <w:rFonts w:cstheme="minorHAnsi"/>
          <w:lang w:val="es-ES_tradnl"/>
        </w:rPr>
        <w:t xml:space="preserve">evidencia determinada a partir de la </w:t>
      </w:r>
      <w:r w:rsidRPr="00660B15">
        <w:rPr>
          <w:rFonts w:cstheme="minorHAnsi"/>
          <w:lang w:val="es-ES_tradnl"/>
        </w:rPr>
        <w:t>información suministrada por la</w:t>
      </w:r>
      <w:r w:rsidR="00043ABB" w:rsidRPr="00660B15">
        <w:rPr>
          <w:rFonts w:cstheme="minorHAnsi"/>
          <w:lang w:val="es-ES_tradnl"/>
        </w:rPr>
        <w:t xml:space="preserve"> Secretaría de Políticas Universitarias (SPU) del Ministerio de Educación de Argentina</w:t>
      </w:r>
      <w:r w:rsidRPr="00660B15">
        <w:rPr>
          <w:rFonts w:cstheme="minorHAnsi"/>
          <w:lang w:val="es-ES_tradnl"/>
        </w:rPr>
        <w:t>.</w:t>
      </w:r>
    </w:p>
    <w:p w14:paraId="00BF549B" w14:textId="2AADD59A" w:rsidR="00441D79" w:rsidRPr="00660B15" w:rsidRDefault="0086164B" w:rsidP="00660B15">
      <w:pPr>
        <w:spacing w:after="0" w:line="360" w:lineRule="auto"/>
        <w:ind w:firstLine="567"/>
        <w:jc w:val="both"/>
        <w:rPr>
          <w:rFonts w:cstheme="minorHAnsi"/>
        </w:rPr>
      </w:pPr>
      <w:r w:rsidRPr="00660B15">
        <w:rPr>
          <w:rFonts w:cstheme="minorHAnsi"/>
        </w:rPr>
        <w:t>L</w:t>
      </w:r>
      <w:r w:rsidR="00994157" w:rsidRPr="00660B15">
        <w:rPr>
          <w:rFonts w:cstheme="minorHAnsi"/>
        </w:rPr>
        <w:t>os resultados obtenidos</w:t>
      </w:r>
      <w:r w:rsidR="00D623B4" w:rsidRPr="00660B15">
        <w:rPr>
          <w:rFonts w:cstheme="minorHAnsi"/>
        </w:rPr>
        <w:t xml:space="preserve"> en el ranking comparativo de eficiencia </w:t>
      </w:r>
      <w:r w:rsidR="00994157" w:rsidRPr="00660B15">
        <w:rPr>
          <w:rFonts w:cstheme="minorHAnsi"/>
        </w:rPr>
        <w:t>de las universidades analizadas</w:t>
      </w:r>
      <w:r w:rsidR="00D623B4" w:rsidRPr="00660B15">
        <w:rPr>
          <w:rFonts w:cstheme="minorHAnsi"/>
        </w:rPr>
        <w:t xml:space="preserve"> </w:t>
      </w:r>
      <w:r w:rsidRPr="00660B15">
        <w:rPr>
          <w:rFonts w:cstheme="minorHAnsi"/>
        </w:rPr>
        <w:t>han permitido comprobar</w:t>
      </w:r>
      <w:r w:rsidR="00D623B4" w:rsidRPr="00660B15">
        <w:rPr>
          <w:rFonts w:cstheme="minorHAnsi"/>
        </w:rPr>
        <w:t xml:space="preserve"> </w:t>
      </w:r>
      <w:r w:rsidR="008221FD" w:rsidRPr="00660B15">
        <w:rPr>
          <w:rFonts w:cstheme="minorHAnsi"/>
        </w:rPr>
        <w:t>que las universidades más eficientes</w:t>
      </w:r>
      <w:r w:rsidR="0073442B" w:rsidRPr="00660B15">
        <w:rPr>
          <w:rFonts w:cstheme="minorHAnsi"/>
        </w:rPr>
        <w:t xml:space="preserve"> </w:t>
      </w:r>
      <w:r w:rsidR="008221FD" w:rsidRPr="00660B15">
        <w:rPr>
          <w:rFonts w:cstheme="minorHAnsi"/>
        </w:rPr>
        <w:t xml:space="preserve">son </w:t>
      </w:r>
      <w:r w:rsidR="00D744FF" w:rsidRPr="00660B15">
        <w:rPr>
          <w:rFonts w:cstheme="minorHAnsi"/>
        </w:rPr>
        <w:t xml:space="preserve">las universidades </w:t>
      </w:r>
      <w:r w:rsidRPr="00660B15">
        <w:rPr>
          <w:rFonts w:cstheme="minorHAnsi"/>
        </w:rPr>
        <w:t xml:space="preserve">nacionales </w:t>
      </w:r>
      <w:r w:rsidR="00D744FF" w:rsidRPr="00660B15">
        <w:rPr>
          <w:rFonts w:cstheme="minorHAnsi"/>
        </w:rPr>
        <w:t xml:space="preserve">de </w:t>
      </w:r>
      <w:r w:rsidR="008221FD" w:rsidRPr="00660B15">
        <w:rPr>
          <w:rFonts w:cstheme="minorHAnsi"/>
        </w:rPr>
        <w:t>Buenos Air</w:t>
      </w:r>
      <w:r w:rsidR="00D623B4" w:rsidRPr="00660B15">
        <w:rPr>
          <w:rFonts w:cstheme="minorHAnsi"/>
        </w:rPr>
        <w:t>es</w:t>
      </w:r>
      <w:r w:rsidR="003F2D16" w:rsidRPr="00660B15">
        <w:rPr>
          <w:rFonts w:cstheme="minorHAnsi"/>
        </w:rPr>
        <w:t xml:space="preserve"> y Rosario de Santa Fe</w:t>
      </w:r>
      <w:r w:rsidRPr="00660B15">
        <w:rPr>
          <w:rFonts w:cstheme="minorHAnsi"/>
        </w:rPr>
        <w:t>,</w:t>
      </w:r>
      <w:r w:rsidR="00DB1E3F" w:rsidRPr="00660B15">
        <w:rPr>
          <w:rFonts w:cstheme="minorHAnsi"/>
          <w:b/>
        </w:rPr>
        <w:t xml:space="preserve"> </w:t>
      </w:r>
      <w:r w:rsidRPr="00660B15">
        <w:rPr>
          <w:rFonts w:cstheme="minorHAnsi"/>
        </w:rPr>
        <w:t>ambas se localizan geográficamente en la Región Pampeana. M</w:t>
      </w:r>
      <w:r w:rsidR="00480913" w:rsidRPr="00660B15">
        <w:rPr>
          <w:rFonts w:cstheme="minorHAnsi"/>
        </w:rPr>
        <w:t>ientras que las universidades más ineficientes son las universidades de San Antonio de Areco,</w:t>
      </w:r>
      <w:r w:rsidR="00966CD9" w:rsidRPr="00660B15">
        <w:rPr>
          <w:rFonts w:cstheme="minorHAnsi"/>
        </w:rPr>
        <w:t xml:space="preserve"> </w:t>
      </w:r>
      <w:r w:rsidR="00480913" w:rsidRPr="00660B15">
        <w:rPr>
          <w:rFonts w:cstheme="minorHAnsi"/>
        </w:rPr>
        <w:t>Rafaela</w:t>
      </w:r>
      <w:r w:rsidRPr="00660B15">
        <w:rPr>
          <w:rFonts w:cstheme="minorHAnsi"/>
        </w:rPr>
        <w:t>, Avellaneda y Tierra del Fuego, de las cuales las tres primeras se localizan geográficamente también en la Región Pampeana y la cuarta “Tierra del Fuego” en la Región Patagónica.</w:t>
      </w:r>
    </w:p>
    <w:p w14:paraId="7AF38914" w14:textId="0B47F3EE" w:rsidR="00660B15" w:rsidRDefault="00660B15" w:rsidP="00755B91">
      <w:pPr>
        <w:spacing w:after="0" w:line="360" w:lineRule="auto"/>
        <w:jc w:val="both"/>
        <w:rPr>
          <w:rFonts w:cstheme="minorHAnsi"/>
        </w:rPr>
      </w:pPr>
    </w:p>
    <w:p w14:paraId="34BA3389" w14:textId="7040CCE1" w:rsidR="00E63AD4" w:rsidRPr="00755B91" w:rsidRDefault="0024182C" w:rsidP="0024182C">
      <w:pPr>
        <w:spacing w:after="0" w:line="360" w:lineRule="auto"/>
        <w:ind w:firstLine="284"/>
        <w:jc w:val="both"/>
        <w:rPr>
          <w:rFonts w:cstheme="minorHAnsi"/>
          <w:b/>
        </w:rPr>
      </w:pPr>
      <w:r w:rsidRPr="0024182C">
        <w:rPr>
          <w:rFonts w:cstheme="minorHAnsi"/>
          <w:b/>
          <w:bCs/>
        </w:rPr>
        <w:t>Referencias</w:t>
      </w:r>
    </w:p>
    <w:p w14:paraId="6657E78F" w14:textId="4140EB12" w:rsidR="00014D05" w:rsidRPr="00755B91" w:rsidRDefault="00014D05" w:rsidP="0024182C">
      <w:pPr>
        <w:shd w:val="clear" w:color="auto" w:fill="FFFFFF"/>
        <w:spacing w:after="0" w:line="360" w:lineRule="auto"/>
        <w:ind w:left="284" w:hanging="284"/>
        <w:jc w:val="both"/>
        <w:rPr>
          <w:rFonts w:eastAsia="Times New Roman" w:cstheme="minorHAnsi"/>
          <w:lang w:val="it-IT" w:eastAsia="es-AR"/>
        </w:rPr>
      </w:pPr>
      <w:proofErr w:type="spellStart"/>
      <w:r w:rsidRPr="00755B91">
        <w:rPr>
          <w:rFonts w:eastAsia="Times New Roman" w:cstheme="minorHAnsi"/>
          <w:lang w:eastAsia="es-AR"/>
        </w:rPr>
        <w:t>Buchbinder</w:t>
      </w:r>
      <w:proofErr w:type="spellEnd"/>
      <w:r w:rsidRPr="00755B91">
        <w:rPr>
          <w:rFonts w:eastAsia="Times New Roman" w:cstheme="minorHAnsi"/>
          <w:lang w:eastAsia="es-AR"/>
        </w:rPr>
        <w:t>, P. (2020).</w:t>
      </w:r>
      <w:r w:rsidR="0024182C">
        <w:rPr>
          <w:rFonts w:eastAsia="Times New Roman" w:cstheme="minorHAnsi"/>
          <w:lang w:eastAsia="es-AR"/>
        </w:rPr>
        <w:t xml:space="preserve"> </w:t>
      </w:r>
      <w:r w:rsidRPr="00755B91">
        <w:rPr>
          <w:rFonts w:eastAsia="Times New Roman" w:cstheme="minorHAnsi"/>
          <w:i/>
          <w:iCs/>
          <w:lang w:eastAsia="es-AR"/>
        </w:rPr>
        <w:t>El sistema universitario argentino: una lectura de sus transformaciones en el largo plazo (1983-2015)</w:t>
      </w:r>
      <w:r w:rsidRPr="00755B91">
        <w:rPr>
          <w:rFonts w:eastAsia="Times New Roman" w:cstheme="minorHAnsi"/>
          <w:lang w:eastAsia="es-AR"/>
        </w:rPr>
        <w:t>. </w:t>
      </w:r>
      <w:r w:rsidRPr="00755B91">
        <w:rPr>
          <w:rFonts w:eastAsia="Times New Roman" w:cstheme="minorHAnsi"/>
          <w:i/>
          <w:iCs/>
          <w:lang w:val="it-IT" w:eastAsia="es-AR"/>
        </w:rPr>
        <w:t>49</w:t>
      </w:r>
      <w:r w:rsidRPr="00755B91">
        <w:rPr>
          <w:rFonts w:eastAsia="Times New Roman" w:cstheme="minorHAnsi"/>
          <w:lang w:val="it-IT" w:eastAsia="es-AR"/>
        </w:rPr>
        <w:t xml:space="preserve">(193), 45–64. </w:t>
      </w:r>
      <w:r w:rsidR="0024182C">
        <w:rPr>
          <w:rFonts w:eastAsia="Times New Roman" w:cstheme="minorHAnsi"/>
          <w:lang w:val="it-IT" w:eastAsia="es-AR"/>
        </w:rPr>
        <w:fldChar w:fldCharType="begin"/>
      </w:r>
      <w:r w:rsidR="0024182C">
        <w:rPr>
          <w:rFonts w:eastAsia="Times New Roman" w:cstheme="minorHAnsi"/>
          <w:lang w:val="it-IT" w:eastAsia="es-AR"/>
        </w:rPr>
        <w:instrText xml:space="preserve"> HYPERLINK "</w:instrText>
      </w:r>
      <w:r w:rsidR="0024182C" w:rsidRPr="00755B91">
        <w:rPr>
          <w:rFonts w:eastAsia="Times New Roman" w:cstheme="minorHAnsi"/>
          <w:lang w:val="it-IT" w:eastAsia="es-AR"/>
        </w:rPr>
        <w:instrText>https://doi.org/10.36857/resu.2020.193.1026</w:instrText>
      </w:r>
      <w:r w:rsidR="0024182C">
        <w:rPr>
          <w:rFonts w:eastAsia="Times New Roman" w:cstheme="minorHAnsi"/>
          <w:lang w:val="it-IT" w:eastAsia="es-AR"/>
        </w:rPr>
        <w:instrText xml:space="preserve">" </w:instrText>
      </w:r>
      <w:r w:rsidR="0024182C">
        <w:rPr>
          <w:rFonts w:eastAsia="Times New Roman" w:cstheme="minorHAnsi"/>
          <w:lang w:val="it-IT" w:eastAsia="es-AR"/>
        </w:rPr>
        <w:fldChar w:fldCharType="separate"/>
      </w:r>
      <w:r w:rsidR="0024182C" w:rsidRPr="00803A38">
        <w:rPr>
          <w:rStyle w:val="Hipervnculo"/>
          <w:rFonts w:eastAsia="Times New Roman" w:cstheme="minorHAnsi"/>
          <w:lang w:val="it-IT" w:eastAsia="es-AR"/>
        </w:rPr>
        <w:t>https://doi.org/10.36857/resu.2020.193.1026</w:t>
      </w:r>
      <w:r w:rsidR="0024182C">
        <w:rPr>
          <w:rFonts w:eastAsia="Times New Roman" w:cstheme="minorHAnsi"/>
          <w:lang w:val="it-IT" w:eastAsia="es-AR"/>
        </w:rPr>
        <w:fldChar w:fldCharType="end"/>
      </w:r>
      <w:r w:rsidR="0024182C">
        <w:rPr>
          <w:rFonts w:eastAsia="Times New Roman" w:cstheme="minorHAnsi"/>
          <w:lang w:val="it-IT" w:eastAsia="es-AR"/>
        </w:rPr>
        <w:t xml:space="preserve"> </w:t>
      </w:r>
    </w:p>
    <w:p w14:paraId="555B3C27" w14:textId="53224E31" w:rsidR="00101E4E" w:rsidRPr="00755B91" w:rsidRDefault="00101E4E" w:rsidP="0024182C">
      <w:pPr>
        <w:shd w:val="clear" w:color="auto" w:fill="FFFFFF"/>
        <w:spacing w:after="0" w:line="360" w:lineRule="auto"/>
        <w:ind w:left="284" w:hanging="284"/>
        <w:jc w:val="both"/>
        <w:rPr>
          <w:rFonts w:eastAsia="Times New Roman" w:cstheme="minorHAnsi"/>
          <w:lang w:eastAsia="es-AR"/>
        </w:rPr>
      </w:pPr>
      <w:r w:rsidRPr="00755B91">
        <w:rPr>
          <w:rFonts w:eastAsia="Times New Roman" w:cstheme="minorHAnsi"/>
          <w:lang w:val="it-IT" w:eastAsia="es-AR"/>
        </w:rPr>
        <w:t>Coll Serrano, V. &amp; Blasco Blasco, O. (2006).</w:t>
      </w:r>
      <w:r w:rsidR="0024182C">
        <w:rPr>
          <w:rFonts w:eastAsia="Times New Roman" w:cstheme="minorHAnsi"/>
          <w:lang w:val="it-IT" w:eastAsia="es-AR"/>
        </w:rPr>
        <w:t xml:space="preserve"> </w:t>
      </w:r>
      <w:r w:rsidRPr="00755B91">
        <w:rPr>
          <w:rFonts w:eastAsia="Times New Roman" w:cstheme="minorHAnsi"/>
          <w:i/>
          <w:lang w:eastAsia="es-AR"/>
        </w:rPr>
        <w:t>Evaluación de la eficiencia mediante el Análisis Envolvente de Datos. Introducción a los modelos básicos.</w:t>
      </w:r>
    </w:p>
    <w:p w14:paraId="281F90E4" w14:textId="3DB5A0F1" w:rsidR="00014D05" w:rsidRPr="00755B91" w:rsidRDefault="00014D05" w:rsidP="0024182C">
      <w:pPr>
        <w:shd w:val="clear" w:color="auto" w:fill="FFFFFF"/>
        <w:spacing w:after="0" w:line="360" w:lineRule="auto"/>
        <w:ind w:left="284" w:hanging="284"/>
        <w:jc w:val="both"/>
        <w:rPr>
          <w:rFonts w:eastAsia="Times New Roman" w:cstheme="minorHAnsi"/>
          <w:lang w:eastAsia="es-AR"/>
        </w:rPr>
      </w:pPr>
      <w:r w:rsidRPr="00755B91">
        <w:rPr>
          <w:rFonts w:eastAsia="Times New Roman" w:cstheme="minorHAnsi"/>
          <w:lang w:eastAsia="es-AR"/>
        </w:rPr>
        <w:t>Coria, M. M. (2011).</w:t>
      </w:r>
      <w:r w:rsidR="0024182C">
        <w:rPr>
          <w:rFonts w:eastAsia="Times New Roman" w:cstheme="minorHAnsi"/>
          <w:lang w:eastAsia="es-AR"/>
        </w:rPr>
        <w:t xml:space="preserve"> </w:t>
      </w:r>
      <w:r w:rsidRPr="00755B91">
        <w:rPr>
          <w:rFonts w:eastAsia="Times New Roman" w:cstheme="minorHAnsi"/>
          <w:i/>
          <w:iCs/>
          <w:lang w:eastAsia="es-AR"/>
        </w:rPr>
        <w:t>Eficiencia técnica de las universidades argentinas de gestión estatal</w:t>
      </w:r>
      <w:r w:rsidRPr="00755B91">
        <w:rPr>
          <w:rFonts w:eastAsia="Times New Roman" w:cstheme="minorHAnsi"/>
          <w:lang w:eastAsia="es-AR"/>
        </w:rPr>
        <w:t>. 44.64.</w:t>
      </w:r>
    </w:p>
    <w:p w14:paraId="5E0643CF" w14:textId="2B024C3C" w:rsidR="00014D05" w:rsidRPr="00755B91" w:rsidRDefault="00014D05" w:rsidP="0024182C">
      <w:pPr>
        <w:shd w:val="clear" w:color="auto" w:fill="FFFFFF"/>
        <w:spacing w:after="0" w:line="360" w:lineRule="auto"/>
        <w:ind w:left="284" w:hanging="284"/>
        <w:jc w:val="both"/>
        <w:rPr>
          <w:rFonts w:eastAsia="Times New Roman" w:cstheme="minorHAnsi"/>
          <w:lang w:eastAsia="es-AR"/>
        </w:rPr>
      </w:pPr>
      <w:proofErr w:type="spellStart"/>
      <w:r w:rsidRPr="00755B91">
        <w:rPr>
          <w:rFonts w:eastAsia="Times New Roman" w:cstheme="minorHAnsi"/>
          <w:lang w:eastAsia="es-AR"/>
        </w:rPr>
        <w:t>Curcio</w:t>
      </w:r>
      <w:proofErr w:type="spellEnd"/>
      <w:r w:rsidR="00E0410A" w:rsidRPr="00755B91">
        <w:rPr>
          <w:rFonts w:eastAsia="Times New Roman" w:cstheme="minorHAnsi"/>
          <w:lang w:eastAsia="es-AR"/>
        </w:rPr>
        <w:t xml:space="preserve"> </w:t>
      </w:r>
      <w:r w:rsidRPr="00755B91">
        <w:rPr>
          <w:rFonts w:eastAsia="Times New Roman" w:cstheme="minorHAnsi"/>
          <w:lang w:eastAsia="es-AR"/>
        </w:rPr>
        <w:t>Javier, C. O. y. (2017).</w:t>
      </w:r>
      <w:r w:rsidR="0024182C">
        <w:rPr>
          <w:rFonts w:eastAsia="Times New Roman" w:cstheme="minorHAnsi"/>
          <w:lang w:eastAsia="es-AR"/>
        </w:rPr>
        <w:t xml:space="preserve"> </w:t>
      </w:r>
      <w:r w:rsidRPr="00755B91">
        <w:rPr>
          <w:rFonts w:eastAsia="Times New Roman" w:cstheme="minorHAnsi"/>
          <w:i/>
          <w:iCs/>
          <w:lang w:eastAsia="es-AR"/>
        </w:rPr>
        <w:t>El gasto de las universidades públicas nacionales</w:t>
      </w:r>
      <w:r w:rsidRPr="00755B91">
        <w:rPr>
          <w:rFonts w:eastAsia="Times New Roman" w:cstheme="minorHAnsi"/>
          <w:lang w:eastAsia="es-AR"/>
        </w:rPr>
        <w:t>.</w:t>
      </w:r>
    </w:p>
    <w:p w14:paraId="316432E4" w14:textId="312013DD" w:rsidR="007E71EE" w:rsidRPr="00755B91" w:rsidRDefault="007E71EE" w:rsidP="0024182C">
      <w:pPr>
        <w:shd w:val="clear" w:color="auto" w:fill="FFFFFF"/>
        <w:spacing w:after="0" w:line="360" w:lineRule="auto"/>
        <w:ind w:left="284" w:hanging="284"/>
        <w:jc w:val="both"/>
        <w:rPr>
          <w:rFonts w:eastAsia="Times New Roman" w:cstheme="minorHAnsi"/>
          <w:lang w:eastAsia="es-AR"/>
        </w:rPr>
      </w:pPr>
      <w:r w:rsidRPr="00755B91">
        <w:rPr>
          <w:rFonts w:eastAsia="Times New Roman" w:cstheme="minorHAnsi"/>
          <w:lang w:eastAsia="es-AR"/>
        </w:rPr>
        <w:t xml:space="preserve">Departamento de Información Universitaria-SPU (año 2017): Anuarios Estadísticos. Recuperado de </w:t>
      </w:r>
      <w:hyperlink r:id="rId18" w:history="1">
        <w:r w:rsidR="0024182C" w:rsidRPr="00803A38">
          <w:rPr>
            <w:rStyle w:val="Hipervnculo"/>
            <w:rFonts w:eastAsia="Times New Roman" w:cstheme="minorHAnsi"/>
            <w:lang w:eastAsia="es-AR"/>
          </w:rPr>
          <w:t>https://www.argentina.gob.ar/educacion/universidades/informacion/publicaciones/anuarios</w:t>
        </w:r>
      </w:hyperlink>
      <w:r w:rsidR="0024182C">
        <w:rPr>
          <w:rFonts w:eastAsia="Times New Roman" w:cstheme="minorHAnsi"/>
          <w:lang w:eastAsia="es-AR"/>
        </w:rPr>
        <w:t xml:space="preserve"> </w:t>
      </w:r>
    </w:p>
    <w:p w14:paraId="6C0134BC" w14:textId="590ADB5B" w:rsidR="00014D05" w:rsidRPr="0024182C" w:rsidRDefault="00014D05" w:rsidP="0024182C">
      <w:pPr>
        <w:shd w:val="clear" w:color="auto" w:fill="FFFFFF"/>
        <w:spacing w:after="0" w:line="360" w:lineRule="auto"/>
        <w:ind w:left="284" w:hanging="284"/>
        <w:jc w:val="both"/>
        <w:rPr>
          <w:rFonts w:eastAsia="Times New Roman" w:cstheme="minorHAnsi"/>
          <w:lang w:eastAsia="es-AR"/>
        </w:rPr>
      </w:pPr>
      <w:proofErr w:type="spellStart"/>
      <w:r w:rsidRPr="00755B91">
        <w:rPr>
          <w:rFonts w:cstheme="minorHAnsi"/>
          <w:shd w:val="clear" w:color="auto" w:fill="FFFFFF"/>
        </w:rPr>
        <w:t>Dip</w:t>
      </w:r>
      <w:proofErr w:type="spellEnd"/>
      <w:r w:rsidRPr="00755B91">
        <w:rPr>
          <w:rFonts w:cstheme="minorHAnsi"/>
          <w:shd w:val="clear" w:color="auto" w:fill="FFFFFF"/>
        </w:rPr>
        <w:t xml:space="preserve">, J. A., Costa de Arguibel, F. &amp; </w:t>
      </w:r>
      <w:proofErr w:type="spellStart"/>
      <w:r w:rsidRPr="00755B91">
        <w:rPr>
          <w:rFonts w:cstheme="minorHAnsi"/>
          <w:shd w:val="clear" w:color="auto" w:fill="FFFFFF"/>
        </w:rPr>
        <w:t>Wittig</w:t>
      </w:r>
      <w:proofErr w:type="spellEnd"/>
      <w:r w:rsidRPr="00755B91">
        <w:rPr>
          <w:rFonts w:cstheme="minorHAnsi"/>
          <w:shd w:val="clear" w:color="auto" w:fill="FFFFFF"/>
        </w:rPr>
        <w:t>, C. P. (2019).</w:t>
      </w:r>
      <w:r w:rsidR="0024182C">
        <w:rPr>
          <w:rFonts w:cstheme="minorHAnsi"/>
          <w:shd w:val="clear" w:color="auto" w:fill="FFFFFF"/>
        </w:rPr>
        <w:t xml:space="preserve"> </w:t>
      </w:r>
      <w:r w:rsidRPr="00755B91">
        <w:rPr>
          <w:rFonts w:cstheme="minorHAnsi"/>
          <w:i/>
          <w:iCs/>
          <w:shd w:val="clear" w:color="auto" w:fill="FFFFFF"/>
        </w:rPr>
        <w:t xml:space="preserve">La eficiencia de las universidades públicas en Argentina mediante el análisis envolvente de datos con </w:t>
      </w:r>
      <w:proofErr w:type="spellStart"/>
      <w:r w:rsidRPr="00755B91">
        <w:rPr>
          <w:rFonts w:cstheme="minorHAnsi"/>
          <w:i/>
          <w:iCs/>
          <w:shd w:val="clear" w:color="auto" w:fill="FFFFFF"/>
        </w:rPr>
        <w:t>bootstrap</w:t>
      </w:r>
      <w:proofErr w:type="spellEnd"/>
      <w:r w:rsidRPr="00755B91">
        <w:rPr>
          <w:rFonts w:cstheme="minorHAnsi"/>
          <w:shd w:val="clear" w:color="auto" w:fill="FFFFFF"/>
        </w:rPr>
        <w:t>.</w:t>
      </w:r>
      <w:r w:rsidR="0024182C">
        <w:rPr>
          <w:rFonts w:cstheme="minorHAnsi"/>
          <w:shd w:val="clear" w:color="auto" w:fill="FFFFFF"/>
        </w:rPr>
        <w:t xml:space="preserve"> </w:t>
      </w:r>
      <w:r w:rsidRPr="0024182C">
        <w:rPr>
          <w:rFonts w:cstheme="minorHAnsi"/>
          <w:i/>
          <w:iCs/>
          <w:shd w:val="clear" w:color="auto" w:fill="FFFFFF"/>
        </w:rPr>
        <w:t>1</w:t>
      </w:r>
      <w:r w:rsidRPr="0024182C">
        <w:rPr>
          <w:rFonts w:cstheme="minorHAnsi"/>
          <w:shd w:val="clear" w:color="auto" w:fill="FFFFFF"/>
        </w:rPr>
        <w:t>(21), 1–26.</w:t>
      </w:r>
    </w:p>
    <w:p w14:paraId="0550FD52" w14:textId="7498A223" w:rsidR="007E71EE" w:rsidRPr="0024182C" w:rsidRDefault="007E71EE" w:rsidP="0024182C">
      <w:pPr>
        <w:shd w:val="clear" w:color="auto" w:fill="FFFFFF"/>
        <w:spacing w:after="0" w:line="360" w:lineRule="auto"/>
        <w:ind w:left="284" w:hanging="284"/>
        <w:jc w:val="both"/>
        <w:rPr>
          <w:rFonts w:eastAsia="Times New Roman" w:cstheme="minorHAnsi"/>
          <w:lang w:eastAsia="es-AR"/>
        </w:rPr>
      </w:pPr>
      <w:r w:rsidRPr="00755B91">
        <w:rPr>
          <w:rFonts w:eastAsia="Times New Roman" w:cstheme="minorHAnsi"/>
          <w:lang w:val="en-US" w:eastAsia="es-AR"/>
        </w:rPr>
        <w:lastRenderedPageBreak/>
        <w:t>Efficiency Measurement System (EMS) (</w:t>
      </w:r>
      <w:proofErr w:type="spellStart"/>
      <w:r w:rsidRPr="00755B91">
        <w:rPr>
          <w:rFonts w:eastAsia="Times New Roman" w:cstheme="minorHAnsi"/>
          <w:lang w:val="en-US" w:eastAsia="es-AR"/>
        </w:rPr>
        <w:t>Versión</w:t>
      </w:r>
      <w:proofErr w:type="spellEnd"/>
      <w:r w:rsidRPr="00755B91">
        <w:rPr>
          <w:rFonts w:eastAsia="Times New Roman" w:cstheme="minorHAnsi"/>
          <w:lang w:val="en-US" w:eastAsia="es-AR"/>
        </w:rPr>
        <w:t xml:space="preserve"> 1.3.0; Holger Scheel: 2000). </w:t>
      </w:r>
      <w:r w:rsidRPr="0024182C">
        <w:rPr>
          <w:rFonts w:eastAsia="Times New Roman" w:cstheme="minorHAnsi"/>
          <w:lang w:eastAsia="es-AR"/>
        </w:rPr>
        <w:t xml:space="preserve">Recuperado de </w:t>
      </w:r>
      <w:r w:rsidR="0024182C" w:rsidRPr="0024182C">
        <w:rPr>
          <w:rFonts w:eastAsia="Times New Roman" w:cstheme="minorHAnsi"/>
          <w:lang w:eastAsia="es-AR"/>
        </w:rPr>
        <w:t xml:space="preserve"> </w:t>
      </w:r>
      <w:hyperlink r:id="rId19" w:history="1">
        <w:r w:rsidR="0024182C" w:rsidRPr="0024182C">
          <w:rPr>
            <w:rStyle w:val="Hipervnculo"/>
            <w:rFonts w:cstheme="minorHAnsi"/>
            <w:lang w:eastAsia="es-AR"/>
          </w:rPr>
          <w:t>http://www.holger-scheel.de/ems/</w:t>
        </w:r>
      </w:hyperlink>
      <w:r w:rsidR="0024182C" w:rsidRPr="0024182C">
        <w:rPr>
          <w:rFonts w:cstheme="minorHAnsi"/>
          <w:lang w:eastAsia="es-AR"/>
        </w:rPr>
        <w:t xml:space="preserve"> </w:t>
      </w:r>
    </w:p>
    <w:p w14:paraId="0F12F15C" w14:textId="3362D420" w:rsidR="00014D05" w:rsidRPr="00755B91" w:rsidRDefault="00014D05" w:rsidP="0024182C">
      <w:pPr>
        <w:shd w:val="clear" w:color="auto" w:fill="FFFFFF"/>
        <w:spacing w:after="0" w:line="360" w:lineRule="auto"/>
        <w:ind w:left="284" w:hanging="284"/>
        <w:jc w:val="both"/>
        <w:rPr>
          <w:rFonts w:eastAsia="Times New Roman" w:cstheme="minorHAnsi"/>
          <w:lang w:eastAsia="es-AR"/>
        </w:rPr>
      </w:pPr>
      <w:r w:rsidRPr="00755B91">
        <w:rPr>
          <w:rFonts w:eastAsia="Times New Roman" w:cstheme="minorHAnsi"/>
          <w:lang w:eastAsia="es-AR"/>
        </w:rPr>
        <w:t>Ethel, M. Y. (2018).</w:t>
      </w:r>
      <w:r w:rsidR="0024182C">
        <w:rPr>
          <w:rFonts w:eastAsia="Times New Roman" w:cstheme="minorHAnsi"/>
          <w:lang w:eastAsia="es-AR"/>
        </w:rPr>
        <w:t xml:space="preserve"> </w:t>
      </w:r>
      <w:r w:rsidRPr="00755B91">
        <w:rPr>
          <w:rFonts w:eastAsia="Times New Roman" w:cstheme="minorHAnsi"/>
          <w:i/>
          <w:iCs/>
          <w:lang w:eastAsia="es-AR"/>
        </w:rPr>
        <w:t>Presupuesto de las Universidades Nacionales Argentinas. normas, responsabilidades y transparencia</w:t>
      </w:r>
      <w:r w:rsidRPr="00755B91">
        <w:rPr>
          <w:rFonts w:eastAsia="Times New Roman" w:cstheme="minorHAnsi"/>
          <w:lang w:eastAsia="es-AR"/>
        </w:rPr>
        <w:t>.</w:t>
      </w:r>
    </w:p>
    <w:p w14:paraId="64C1FD3C" w14:textId="09645471" w:rsidR="00014D05" w:rsidRPr="00755B91" w:rsidRDefault="00014D05" w:rsidP="0024182C">
      <w:pPr>
        <w:shd w:val="clear" w:color="auto" w:fill="FFFFFF"/>
        <w:spacing w:after="0" w:line="360" w:lineRule="auto"/>
        <w:ind w:left="284" w:hanging="284"/>
        <w:jc w:val="both"/>
        <w:rPr>
          <w:rFonts w:eastAsia="Times New Roman" w:cstheme="minorHAnsi"/>
          <w:lang w:eastAsia="es-AR"/>
        </w:rPr>
      </w:pPr>
      <w:proofErr w:type="spellStart"/>
      <w:r w:rsidRPr="00755B91">
        <w:rPr>
          <w:rFonts w:eastAsia="Times New Roman" w:cstheme="minorHAnsi"/>
          <w:lang w:eastAsia="es-AR"/>
        </w:rPr>
        <w:t>Fachelli</w:t>
      </w:r>
      <w:proofErr w:type="spellEnd"/>
      <w:r w:rsidRPr="00755B91">
        <w:rPr>
          <w:rFonts w:eastAsia="Times New Roman" w:cstheme="minorHAnsi"/>
          <w:lang w:eastAsia="es-AR"/>
        </w:rPr>
        <w:t>, S. &amp; López-Roldán, P. (2017).</w:t>
      </w:r>
      <w:r w:rsidR="0024182C">
        <w:rPr>
          <w:rFonts w:eastAsia="Times New Roman" w:cstheme="minorHAnsi"/>
          <w:lang w:eastAsia="es-AR"/>
        </w:rPr>
        <w:t xml:space="preserve"> </w:t>
      </w:r>
      <w:r w:rsidRPr="00755B91">
        <w:rPr>
          <w:rFonts w:eastAsia="Times New Roman" w:cstheme="minorHAnsi"/>
          <w:i/>
          <w:iCs/>
          <w:lang w:eastAsia="es-AR"/>
        </w:rPr>
        <w:t>Análisis del sistema universitario argentino. Una propuesta inicial de indicadores</w:t>
      </w:r>
      <w:r w:rsidRPr="00755B91">
        <w:rPr>
          <w:rFonts w:eastAsia="Times New Roman" w:cstheme="minorHAnsi"/>
          <w:lang w:eastAsia="es-AR"/>
        </w:rPr>
        <w:t>.</w:t>
      </w:r>
    </w:p>
    <w:p w14:paraId="011CC416" w14:textId="2EB99B5C" w:rsidR="00014D05" w:rsidRPr="00755B91" w:rsidRDefault="00014D05" w:rsidP="0024182C">
      <w:pPr>
        <w:shd w:val="clear" w:color="auto" w:fill="FFFFFF"/>
        <w:spacing w:after="0" w:line="360" w:lineRule="auto"/>
        <w:ind w:left="284" w:hanging="284"/>
        <w:jc w:val="both"/>
        <w:rPr>
          <w:rFonts w:eastAsia="Times New Roman" w:cstheme="minorHAnsi"/>
          <w:lang w:eastAsia="es-AR"/>
        </w:rPr>
      </w:pPr>
      <w:r w:rsidRPr="00755B91">
        <w:rPr>
          <w:rFonts w:eastAsia="Times New Roman" w:cstheme="minorHAnsi"/>
          <w:lang w:val="it-IT" w:eastAsia="es-AR"/>
        </w:rPr>
        <w:t>Ibáñez Martín, M. M., Morresi, S. S. &amp; Delbianco, F. (2017). </w:t>
      </w:r>
      <w:r w:rsidRPr="00755B91">
        <w:rPr>
          <w:rFonts w:eastAsia="Times New Roman" w:cstheme="minorHAnsi"/>
          <w:i/>
          <w:iCs/>
          <w:lang w:eastAsia="es-AR"/>
        </w:rPr>
        <w:t>Una medición de la eficiencia interna en una universidad argentina usando el método de fronteras estocásticas</w:t>
      </w:r>
      <w:r w:rsidRPr="00755B91">
        <w:rPr>
          <w:rFonts w:eastAsia="Times New Roman" w:cstheme="minorHAnsi"/>
          <w:lang w:eastAsia="es-AR"/>
        </w:rPr>
        <w:t>. </w:t>
      </w:r>
      <w:r w:rsidRPr="00755B91">
        <w:rPr>
          <w:rFonts w:eastAsia="Times New Roman" w:cstheme="minorHAnsi"/>
          <w:i/>
          <w:iCs/>
          <w:lang w:eastAsia="es-AR"/>
        </w:rPr>
        <w:t>46</w:t>
      </w:r>
      <w:r w:rsidRPr="00755B91">
        <w:rPr>
          <w:rFonts w:eastAsia="Times New Roman" w:cstheme="minorHAnsi"/>
          <w:lang w:eastAsia="es-AR"/>
        </w:rPr>
        <w:t xml:space="preserve">(183), 47–62. </w:t>
      </w:r>
      <w:hyperlink r:id="rId20" w:history="1">
        <w:r w:rsidR="0024182C" w:rsidRPr="00803A38">
          <w:rPr>
            <w:rStyle w:val="Hipervnculo"/>
            <w:rFonts w:eastAsia="Times New Roman" w:cstheme="minorHAnsi"/>
            <w:lang w:eastAsia="es-AR"/>
          </w:rPr>
          <w:t>https://doi.org/10.1016/j.resu.2017.06.002</w:t>
        </w:r>
      </w:hyperlink>
      <w:r w:rsidR="0024182C">
        <w:rPr>
          <w:rFonts w:eastAsia="Times New Roman" w:cstheme="minorHAnsi"/>
          <w:lang w:eastAsia="es-AR"/>
        </w:rPr>
        <w:t xml:space="preserve"> </w:t>
      </w:r>
    </w:p>
    <w:p w14:paraId="479B38F0" w14:textId="4B2E8C8C" w:rsidR="0043172F" w:rsidRPr="00755B91" w:rsidRDefault="0043172F" w:rsidP="0024182C">
      <w:pPr>
        <w:shd w:val="clear" w:color="auto" w:fill="FFFFFF"/>
        <w:spacing w:after="0" w:line="360" w:lineRule="auto"/>
        <w:ind w:left="284" w:hanging="284"/>
        <w:jc w:val="both"/>
        <w:rPr>
          <w:rFonts w:cstheme="minorHAnsi"/>
          <w:lang w:val="pt-BR"/>
        </w:rPr>
      </w:pPr>
      <w:r w:rsidRPr="00755B91">
        <w:rPr>
          <w:rFonts w:eastAsia="Times New Roman" w:cstheme="minorHAnsi"/>
          <w:lang w:eastAsia="es-AR"/>
        </w:rPr>
        <w:t xml:space="preserve">Instituto de Estadística de la Organización de las Naciones Unidas para la Educación, la Ciencia y la Cultura (UNESCO): Gasto público en educación-Argentina. </w:t>
      </w:r>
      <w:r w:rsidRPr="00755B91">
        <w:rPr>
          <w:rFonts w:eastAsia="Times New Roman" w:cstheme="minorHAnsi"/>
          <w:lang w:val="pt-BR" w:eastAsia="es-AR"/>
        </w:rPr>
        <w:t xml:space="preserve">Recuperado de </w:t>
      </w:r>
      <w:hyperlink r:id="rId21" w:history="1">
        <w:r w:rsidR="0024182C" w:rsidRPr="00803A38">
          <w:rPr>
            <w:rStyle w:val="Hipervnculo"/>
            <w:rFonts w:cstheme="minorHAnsi"/>
            <w:lang w:val="pt-BR"/>
          </w:rPr>
          <w:t>https://datos.bancomundial.org//indicador/SE.XPD.TOTL.GD.ZS?locations=AR</w:t>
        </w:r>
      </w:hyperlink>
      <w:r w:rsidR="0024182C">
        <w:rPr>
          <w:rFonts w:cstheme="minorHAnsi"/>
          <w:lang w:val="pt-BR"/>
        </w:rPr>
        <w:t xml:space="preserve"> </w:t>
      </w:r>
    </w:p>
    <w:p w14:paraId="28E42AD4" w14:textId="77777777" w:rsidR="00014D05" w:rsidRPr="00755B91" w:rsidRDefault="00014D05" w:rsidP="0024182C">
      <w:pPr>
        <w:shd w:val="clear" w:color="auto" w:fill="FFFFFF"/>
        <w:spacing w:after="0" w:line="360" w:lineRule="auto"/>
        <w:ind w:left="284" w:hanging="284"/>
        <w:jc w:val="both"/>
        <w:rPr>
          <w:rFonts w:eastAsia="Times New Roman" w:cstheme="minorHAnsi"/>
          <w:lang w:eastAsia="es-AR"/>
        </w:rPr>
      </w:pPr>
      <w:r w:rsidRPr="0024182C">
        <w:rPr>
          <w:rFonts w:eastAsia="Times New Roman" w:cstheme="minorHAnsi"/>
          <w:lang w:val="pt-BR" w:eastAsia="es-AR"/>
        </w:rPr>
        <w:t>Libertad, F. (2019). </w:t>
      </w:r>
      <w:r w:rsidRPr="00755B91">
        <w:rPr>
          <w:rFonts w:eastAsia="Times New Roman" w:cstheme="minorHAnsi"/>
          <w:i/>
          <w:lang w:eastAsia="es-AR"/>
        </w:rPr>
        <w:t>Radiografía de las Universidades Argentinas</w:t>
      </w:r>
      <w:r w:rsidRPr="00755B91">
        <w:rPr>
          <w:rFonts w:eastAsia="Times New Roman" w:cstheme="minorHAnsi"/>
          <w:lang w:eastAsia="es-AR"/>
        </w:rPr>
        <w:t xml:space="preserve"> 2019. 24.</w:t>
      </w:r>
    </w:p>
    <w:p w14:paraId="544BCB93" w14:textId="792DD58A" w:rsidR="00014D05" w:rsidRPr="00755B91" w:rsidRDefault="00014D05" w:rsidP="0024182C">
      <w:pPr>
        <w:shd w:val="clear" w:color="auto" w:fill="FFFFFF"/>
        <w:spacing w:after="0" w:line="360" w:lineRule="auto"/>
        <w:ind w:left="284" w:hanging="284"/>
        <w:jc w:val="both"/>
        <w:rPr>
          <w:rFonts w:eastAsia="Times New Roman" w:cstheme="minorHAnsi"/>
          <w:i/>
          <w:lang w:eastAsia="es-AR"/>
        </w:rPr>
      </w:pPr>
      <w:r w:rsidRPr="00755B91">
        <w:rPr>
          <w:rFonts w:eastAsia="Times New Roman" w:cstheme="minorHAnsi"/>
          <w:lang w:eastAsia="es-AR"/>
        </w:rPr>
        <w:t>Marquina, M. (2009).</w:t>
      </w:r>
      <w:r w:rsidR="0024182C">
        <w:rPr>
          <w:rFonts w:eastAsia="Times New Roman" w:cstheme="minorHAnsi"/>
          <w:lang w:eastAsia="es-AR"/>
        </w:rPr>
        <w:t xml:space="preserve"> </w:t>
      </w:r>
      <w:r w:rsidRPr="00755B91">
        <w:rPr>
          <w:rFonts w:eastAsia="Times New Roman" w:cstheme="minorHAnsi"/>
          <w:i/>
          <w:lang w:eastAsia="es-AR"/>
        </w:rPr>
        <w:t>La Profesión Académica en Argentina: Principales características a partir de las políticas recientes.</w:t>
      </w:r>
    </w:p>
    <w:p w14:paraId="7ACDA7F5" w14:textId="5427FC54" w:rsidR="00014D05" w:rsidRPr="00755B91" w:rsidRDefault="00014D05" w:rsidP="0024182C">
      <w:pPr>
        <w:shd w:val="clear" w:color="auto" w:fill="FFFFFF"/>
        <w:spacing w:after="0" w:line="360" w:lineRule="auto"/>
        <w:ind w:left="284" w:hanging="284"/>
        <w:jc w:val="both"/>
        <w:rPr>
          <w:rFonts w:eastAsia="Times New Roman" w:cstheme="minorHAnsi"/>
          <w:i/>
          <w:lang w:eastAsia="es-AR"/>
        </w:rPr>
      </w:pPr>
      <w:r w:rsidRPr="00755B91">
        <w:rPr>
          <w:rFonts w:eastAsia="Times New Roman" w:cstheme="minorHAnsi"/>
          <w:lang w:eastAsia="es-AR"/>
        </w:rPr>
        <w:t xml:space="preserve">Marquina, M. &amp; </w:t>
      </w:r>
      <w:proofErr w:type="spellStart"/>
      <w:r w:rsidRPr="00755B91">
        <w:rPr>
          <w:rFonts w:eastAsia="Times New Roman" w:cstheme="minorHAnsi"/>
          <w:lang w:eastAsia="es-AR"/>
        </w:rPr>
        <w:t>Chiroleu</w:t>
      </w:r>
      <w:proofErr w:type="spellEnd"/>
      <w:r w:rsidRPr="00755B91">
        <w:rPr>
          <w:rFonts w:eastAsia="Times New Roman" w:cstheme="minorHAnsi"/>
          <w:lang w:eastAsia="es-AR"/>
        </w:rPr>
        <w:t>, A. (2015).</w:t>
      </w:r>
      <w:r w:rsidR="0024182C">
        <w:rPr>
          <w:rFonts w:eastAsia="Times New Roman" w:cstheme="minorHAnsi"/>
          <w:lang w:eastAsia="es-AR"/>
        </w:rPr>
        <w:t xml:space="preserve"> </w:t>
      </w:r>
      <w:r w:rsidRPr="00755B91">
        <w:rPr>
          <w:rFonts w:eastAsia="Times New Roman" w:cstheme="minorHAnsi"/>
          <w:i/>
          <w:lang w:eastAsia="es-AR"/>
        </w:rPr>
        <w:t>“¿Hacia un nuevo mapa universitario? La ampliación de la oferta y la inclusión como temas de agenda de gobierno en Argentina.”</w:t>
      </w:r>
    </w:p>
    <w:p w14:paraId="3EB14EE0" w14:textId="58490B22" w:rsidR="00014D05" w:rsidRPr="00755B91" w:rsidRDefault="00014D05" w:rsidP="0024182C">
      <w:pPr>
        <w:shd w:val="clear" w:color="auto" w:fill="FFFFFF"/>
        <w:spacing w:after="0" w:line="360" w:lineRule="auto"/>
        <w:ind w:left="284" w:hanging="284"/>
        <w:jc w:val="both"/>
        <w:rPr>
          <w:rFonts w:eastAsia="Times New Roman" w:cstheme="minorHAnsi"/>
          <w:i/>
          <w:lang w:eastAsia="es-AR"/>
        </w:rPr>
      </w:pPr>
      <w:r w:rsidRPr="00755B91">
        <w:rPr>
          <w:rFonts w:eastAsia="Times New Roman" w:cstheme="minorHAnsi"/>
          <w:lang w:eastAsia="es-AR"/>
        </w:rPr>
        <w:t>Quiroga Martínez, F. (2018).</w:t>
      </w:r>
      <w:r w:rsidR="0024182C">
        <w:rPr>
          <w:rFonts w:eastAsia="Times New Roman" w:cstheme="minorHAnsi"/>
          <w:lang w:eastAsia="es-AR"/>
        </w:rPr>
        <w:t xml:space="preserve"> </w:t>
      </w:r>
      <w:r w:rsidRPr="00755B91">
        <w:rPr>
          <w:rFonts w:eastAsia="Times New Roman" w:cstheme="minorHAnsi"/>
          <w:i/>
          <w:lang w:eastAsia="es-AR"/>
        </w:rPr>
        <w:t>Evaluación del sistema de educación superior argentino: análisis de la eficiencia de las universidades nacionales y de su efecto en la productividad de los individuos.</w:t>
      </w:r>
    </w:p>
    <w:p w14:paraId="3032F191" w14:textId="123A29E5" w:rsidR="00014D05" w:rsidRPr="00755B91" w:rsidRDefault="00014D05" w:rsidP="0024182C">
      <w:pPr>
        <w:shd w:val="clear" w:color="auto" w:fill="FFFFFF"/>
        <w:spacing w:after="0" w:line="360" w:lineRule="auto"/>
        <w:ind w:left="284" w:hanging="284"/>
        <w:jc w:val="both"/>
        <w:rPr>
          <w:rFonts w:eastAsia="Times New Roman" w:cstheme="minorHAnsi"/>
          <w:i/>
          <w:lang w:eastAsia="es-AR"/>
        </w:rPr>
      </w:pPr>
      <w:r w:rsidRPr="00755B91">
        <w:rPr>
          <w:rFonts w:eastAsia="Times New Roman" w:cstheme="minorHAnsi"/>
          <w:lang w:eastAsia="es-AR"/>
        </w:rPr>
        <w:t>Ruiz, R. E. (2015).</w:t>
      </w:r>
      <w:r w:rsidR="0024182C">
        <w:rPr>
          <w:rFonts w:eastAsia="Times New Roman" w:cstheme="minorHAnsi"/>
          <w:lang w:eastAsia="es-AR"/>
        </w:rPr>
        <w:t xml:space="preserve"> </w:t>
      </w:r>
      <w:r w:rsidRPr="00755B91">
        <w:rPr>
          <w:rFonts w:eastAsia="Times New Roman" w:cstheme="minorHAnsi"/>
          <w:i/>
          <w:lang w:eastAsia="es-AR"/>
        </w:rPr>
        <w:t xml:space="preserve">Calidad de la universidad pública argentina: una aproximación desde la eficiencia / Rosana Elizabeth Ruiz; </w:t>
      </w:r>
      <w:r w:rsidR="0024182C" w:rsidRPr="00755B91">
        <w:rPr>
          <w:rFonts w:eastAsia="Times New Roman" w:cstheme="minorHAnsi"/>
          <w:i/>
          <w:lang w:eastAsia="es-AR"/>
        </w:rPr>
        <w:t>Dir.</w:t>
      </w:r>
      <w:r w:rsidRPr="00755B91">
        <w:rPr>
          <w:rFonts w:eastAsia="Times New Roman" w:cstheme="minorHAnsi"/>
          <w:i/>
          <w:lang w:eastAsia="es-AR"/>
        </w:rPr>
        <w:t>, Leonor Margalef García; Universidad de Alcalá, Facultad de Educación, Departamento de Ciencias de la Educación</w:t>
      </w:r>
      <w:r w:rsidR="0024182C">
        <w:rPr>
          <w:rFonts w:eastAsia="Times New Roman" w:cstheme="minorHAnsi"/>
          <w:i/>
          <w:lang w:eastAsia="es-AR"/>
        </w:rPr>
        <w:t xml:space="preserve"> </w:t>
      </w:r>
      <w:r w:rsidRPr="00755B91">
        <w:rPr>
          <w:rFonts w:eastAsia="Times New Roman" w:cstheme="minorHAnsi"/>
          <w:i/>
          <w:lang w:eastAsia="es-AR"/>
        </w:rPr>
        <w:t>(L. Margalef García &amp; U. de A. D. de C. de la Educación (Eds.).</w:t>
      </w:r>
    </w:p>
    <w:p w14:paraId="2D6A2437" w14:textId="74D61C35" w:rsidR="00014D05" w:rsidRPr="00755B91" w:rsidRDefault="00014D05" w:rsidP="0024182C">
      <w:pPr>
        <w:shd w:val="clear" w:color="auto" w:fill="FFFFFF"/>
        <w:spacing w:after="0" w:line="360" w:lineRule="auto"/>
        <w:ind w:left="284" w:hanging="284"/>
        <w:jc w:val="both"/>
        <w:rPr>
          <w:rFonts w:eastAsia="Times New Roman" w:cstheme="minorHAnsi"/>
          <w:lang w:eastAsia="es-AR"/>
        </w:rPr>
      </w:pPr>
      <w:r w:rsidRPr="00755B91">
        <w:rPr>
          <w:rFonts w:eastAsia="Times New Roman" w:cstheme="minorHAnsi"/>
          <w:lang w:eastAsia="es-AR"/>
        </w:rPr>
        <w:t xml:space="preserve">Villarreal, F. &amp; </w:t>
      </w:r>
      <w:proofErr w:type="spellStart"/>
      <w:r w:rsidRPr="00755B91">
        <w:rPr>
          <w:rFonts w:eastAsia="Times New Roman" w:cstheme="minorHAnsi"/>
          <w:lang w:eastAsia="es-AR"/>
        </w:rPr>
        <w:t>Tohmé</w:t>
      </w:r>
      <w:proofErr w:type="spellEnd"/>
      <w:r w:rsidRPr="00755B91">
        <w:rPr>
          <w:rFonts w:eastAsia="Times New Roman" w:cstheme="minorHAnsi"/>
          <w:lang w:eastAsia="es-AR"/>
        </w:rPr>
        <w:t>, F. (2017a).</w:t>
      </w:r>
      <w:r w:rsidR="0024182C">
        <w:rPr>
          <w:rFonts w:eastAsia="Times New Roman" w:cstheme="minorHAnsi"/>
          <w:lang w:eastAsia="es-AR"/>
        </w:rPr>
        <w:t xml:space="preserve"> </w:t>
      </w:r>
      <w:r w:rsidRPr="00755B91">
        <w:rPr>
          <w:rFonts w:eastAsia="Times New Roman" w:cstheme="minorHAnsi"/>
          <w:i/>
          <w:lang w:eastAsia="es-AR"/>
        </w:rPr>
        <w:t>Análisis envolvente de datos. Un caso de estudio para una universidad argentina.</w:t>
      </w:r>
      <w:r w:rsidR="0024182C">
        <w:rPr>
          <w:rFonts w:eastAsia="Times New Roman" w:cstheme="minorHAnsi"/>
          <w:lang w:eastAsia="es-AR"/>
        </w:rPr>
        <w:t xml:space="preserve"> </w:t>
      </w:r>
      <w:r w:rsidRPr="00755B91">
        <w:rPr>
          <w:rFonts w:eastAsia="Times New Roman" w:cstheme="minorHAnsi"/>
          <w:lang w:eastAsia="es-AR"/>
        </w:rPr>
        <w:t xml:space="preserve">33(144), 302–308. </w:t>
      </w:r>
      <w:hyperlink r:id="rId22" w:history="1">
        <w:r w:rsidR="0024182C" w:rsidRPr="00803A38">
          <w:rPr>
            <w:rStyle w:val="Hipervnculo"/>
            <w:rFonts w:eastAsia="Times New Roman" w:cstheme="minorHAnsi"/>
            <w:lang w:eastAsia="es-AR"/>
          </w:rPr>
          <w:t>https://doi.org/10.1016/j.estger.2017.06.004</w:t>
        </w:r>
      </w:hyperlink>
      <w:r w:rsidR="0024182C">
        <w:rPr>
          <w:rFonts w:eastAsia="Times New Roman" w:cstheme="minorHAnsi"/>
          <w:lang w:eastAsia="es-AR"/>
        </w:rPr>
        <w:t xml:space="preserve"> </w:t>
      </w:r>
    </w:p>
    <w:p w14:paraId="5BFC11F8" w14:textId="77777777" w:rsidR="00A02CFC" w:rsidRPr="00755B91" w:rsidRDefault="00A02CFC" w:rsidP="00755B91">
      <w:pPr>
        <w:shd w:val="clear" w:color="auto" w:fill="FFFFFF"/>
        <w:spacing w:after="0" w:line="360" w:lineRule="auto"/>
        <w:jc w:val="both"/>
        <w:rPr>
          <w:rFonts w:cstheme="minorHAnsi"/>
        </w:rPr>
      </w:pPr>
    </w:p>
    <w:sectPr w:rsidR="00A02CFC" w:rsidRPr="00755B91" w:rsidSect="00755B91">
      <w:footerReference w:type="default" r:id="rId23"/>
      <w:pgSz w:w="11906" w:h="16838" w:code="9"/>
      <w:pgMar w:top="1418"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B6DC" w14:textId="77777777" w:rsidR="00FC143F" w:rsidRDefault="00FC143F" w:rsidP="00311A41">
      <w:pPr>
        <w:spacing w:after="0" w:line="240" w:lineRule="auto"/>
      </w:pPr>
      <w:r>
        <w:separator/>
      </w:r>
    </w:p>
  </w:endnote>
  <w:endnote w:type="continuationSeparator" w:id="0">
    <w:p w14:paraId="59939F44" w14:textId="77777777" w:rsidR="00FC143F" w:rsidRDefault="00FC143F" w:rsidP="0031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743773"/>
      <w:docPartObj>
        <w:docPartGallery w:val="Page Numbers (Bottom of Page)"/>
        <w:docPartUnique/>
      </w:docPartObj>
    </w:sdtPr>
    <w:sdtEndPr/>
    <w:sdtContent>
      <w:p w14:paraId="514D7378" w14:textId="77777777" w:rsidR="00DA65A0" w:rsidRDefault="00951617">
        <w:pPr>
          <w:pStyle w:val="Piedepgina"/>
          <w:jc w:val="right"/>
        </w:pPr>
        <w:r>
          <w:fldChar w:fldCharType="begin"/>
        </w:r>
        <w:r w:rsidR="00DA65A0">
          <w:instrText>PAGE   \* MERGEFORMAT</w:instrText>
        </w:r>
        <w:r>
          <w:fldChar w:fldCharType="separate"/>
        </w:r>
        <w:r w:rsidR="007057A4" w:rsidRPr="007057A4">
          <w:rPr>
            <w:noProof/>
            <w:lang w:val="es-ES"/>
          </w:rPr>
          <w:t>23</w:t>
        </w:r>
        <w:r>
          <w:fldChar w:fldCharType="end"/>
        </w:r>
      </w:p>
    </w:sdtContent>
  </w:sdt>
  <w:p w14:paraId="2353AD85" w14:textId="77777777" w:rsidR="00DA65A0" w:rsidRDefault="00DA65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6ACB" w14:textId="77777777" w:rsidR="00FC143F" w:rsidRDefault="00FC143F" w:rsidP="00311A41">
      <w:pPr>
        <w:spacing w:after="0" w:line="240" w:lineRule="auto"/>
      </w:pPr>
      <w:r>
        <w:separator/>
      </w:r>
    </w:p>
  </w:footnote>
  <w:footnote w:type="continuationSeparator" w:id="0">
    <w:p w14:paraId="6BB39526" w14:textId="77777777" w:rsidR="00FC143F" w:rsidRDefault="00FC143F" w:rsidP="00311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500C"/>
    <w:multiLevelType w:val="multilevel"/>
    <w:tmpl w:val="BEC8850E"/>
    <w:lvl w:ilvl="0">
      <w:start w:val="1"/>
      <w:numFmt w:val="decimal"/>
      <w:lvlText w:val="%1."/>
      <w:lvlJc w:val="left"/>
      <w:pPr>
        <w:ind w:left="720" w:hanging="360"/>
      </w:pPr>
      <w:rPr>
        <w:rFonts w:hint="default"/>
        <w:color w:val="auto"/>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0B4C64"/>
    <w:multiLevelType w:val="hybridMultilevel"/>
    <w:tmpl w:val="C9E27A42"/>
    <w:lvl w:ilvl="0" w:tplc="978450B0">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E906AB9"/>
    <w:multiLevelType w:val="multilevel"/>
    <w:tmpl w:val="1FF2134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FA25CB"/>
    <w:multiLevelType w:val="hybridMultilevel"/>
    <w:tmpl w:val="34A4CC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96E54CE"/>
    <w:multiLevelType w:val="hybridMultilevel"/>
    <w:tmpl w:val="6CDCC96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F3E4C56"/>
    <w:multiLevelType w:val="hybridMultilevel"/>
    <w:tmpl w:val="8C483E4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32D30DB"/>
    <w:multiLevelType w:val="hybridMultilevel"/>
    <w:tmpl w:val="34A4CC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3937837"/>
    <w:multiLevelType w:val="multilevel"/>
    <w:tmpl w:val="1FF2134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5B7EC6"/>
    <w:multiLevelType w:val="hybridMultilevel"/>
    <w:tmpl w:val="37565AEA"/>
    <w:lvl w:ilvl="0" w:tplc="2000E98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3F12AF0"/>
    <w:multiLevelType w:val="multilevel"/>
    <w:tmpl w:val="1FF2134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CA63ECB"/>
    <w:multiLevelType w:val="hybridMultilevel"/>
    <w:tmpl w:val="4C1C1D6A"/>
    <w:lvl w:ilvl="0" w:tplc="2C0A0001">
      <w:start w:val="1"/>
      <w:numFmt w:val="bullet"/>
      <w:lvlText w:val=""/>
      <w:lvlJc w:val="left"/>
      <w:pPr>
        <w:ind w:left="2483" w:hanging="360"/>
      </w:pPr>
      <w:rPr>
        <w:rFonts w:ascii="Symbol" w:hAnsi="Symbol" w:hint="default"/>
      </w:rPr>
    </w:lvl>
    <w:lvl w:ilvl="1" w:tplc="2C0A0003" w:tentative="1">
      <w:start w:val="1"/>
      <w:numFmt w:val="bullet"/>
      <w:lvlText w:val="o"/>
      <w:lvlJc w:val="left"/>
      <w:pPr>
        <w:ind w:left="3203" w:hanging="360"/>
      </w:pPr>
      <w:rPr>
        <w:rFonts w:ascii="Courier New" w:hAnsi="Courier New" w:cs="Courier New" w:hint="default"/>
      </w:rPr>
    </w:lvl>
    <w:lvl w:ilvl="2" w:tplc="2C0A0005" w:tentative="1">
      <w:start w:val="1"/>
      <w:numFmt w:val="bullet"/>
      <w:lvlText w:val=""/>
      <w:lvlJc w:val="left"/>
      <w:pPr>
        <w:ind w:left="3923" w:hanging="360"/>
      </w:pPr>
      <w:rPr>
        <w:rFonts w:ascii="Wingdings" w:hAnsi="Wingdings" w:hint="default"/>
      </w:rPr>
    </w:lvl>
    <w:lvl w:ilvl="3" w:tplc="2C0A0001" w:tentative="1">
      <w:start w:val="1"/>
      <w:numFmt w:val="bullet"/>
      <w:lvlText w:val=""/>
      <w:lvlJc w:val="left"/>
      <w:pPr>
        <w:ind w:left="4643" w:hanging="360"/>
      </w:pPr>
      <w:rPr>
        <w:rFonts w:ascii="Symbol" w:hAnsi="Symbol" w:hint="default"/>
      </w:rPr>
    </w:lvl>
    <w:lvl w:ilvl="4" w:tplc="2C0A0003" w:tentative="1">
      <w:start w:val="1"/>
      <w:numFmt w:val="bullet"/>
      <w:lvlText w:val="o"/>
      <w:lvlJc w:val="left"/>
      <w:pPr>
        <w:ind w:left="5363" w:hanging="360"/>
      </w:pPr>
      <w:rPr>
        <w:rFonts w:ascii="Courier New" w:hAnsi="Courier New" w:cs="Courier New" w:hint="default"/>
      </w:rPr>
    </w:lvl>
    <w:lvl w:ilvl="5" w:tplc="2C0A0005" w:tentative="1">
      <w:start w:val="1"/>
      <w:numFmt w:val="bullet"/>
      <w:lvlText w:val=""/>
      <w:lvlJc w:val="left"/>
      <w:pPr>
        <w:ind w:left="6083" w:hanging="360"/>
      </w:pPr>
      <w:rPr>
        <w:rFonts w:ascii="Wingdings" w:hAnsi="Wingdings" w:hint="default"/>
      </w:rPr>
    </w:lvl>
    <w:lvl w:ilvl="6" w:tplc="2C0A0001" w:tentative="1">
      <w:start w:val="1"/>
      <w:numFmt w:val="bullet"/>
      <w:lvlText w:val=""/>
      <w:lvlJc w:val="left"/>
      <w:pPr>
        <w:ind w:left="6803" w:hanging="360"/>
      </w:pPr>
      <w:rPr>
        <w:rFonts w:ascii="Symbol" w:hAnsi="Symbol" w:hint="default"/>
      </w:rPr>
    </w:lvl>
    <w:lvl w:ilvl="7" w:tplc="2C0A0003" w:tentative="1">
      <w:start w:val="1"/>
      <w:numFmt w:val="bullet"/>
      <w:lvlText w:val="o"/>
      <w:lvlJc w:val="left"/>
      <w:pPr>
        <w:ind w:left="7523" w:hanging="360"/>
      </w:pPr>
      <w:rPr>
        <w:rFonts w:ascii="Courier New" w:hAnsi="Courier New" w:cs="Courier New" w:hint="default"/>
      </w:rPr>
    </w:lvl>
    <w:lvl w:ilvl="8" w:tplc="2C0A0005" w:tentative="1">
      <w:start w:val="1"/>
      <w:numFmt w:val="bullet"/>
      <w:lvlText w:val=""/>
      <w:lvlJc w:val="left"/>
      <w:pPr>
        <w:ind w:left="8243" w:hanging="360"/>
      </w:pPr>
      <w:rPr>
        <w:rFonts w:ascii="Wingdings" w:hAnsi="Wingdings" w:hint="default"/>
      </w:rPr>
    </w:lvl>
  </w:abstractNum>
  <w:abstractNum w:abstractNumId="11" w15:restartNumberingAfterBreak="0">
    <w:nsid w:val="4F2D2D40"/>
    <w:multiLevelType w:val="hybridMultilevel"/>
    <w:tmpl w:val="63424BFA"/>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2" w15:restartNumberingAfterBreak="0">
    <w:nsid w:val="51E44FEA"/>
    <w:multiLevelType w:val="hybridMultilevel"/>
    <w:tmpl w:val="1C88D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36634A8"/>
    <w:multiLevelType w:val="hybridMultilevel"/>
    <w:tmpl w:val="F54E6D46"/>
    <w:lvl w:ilvl="0" w:tplc="B7A0E8D2">
      <w:start w:val="1"/>
      <w:numFmt w:val="bullet"/>
      <w:lvlText w:val=""/>
      <w:lvlJc w:val="left"/>
      <w:pPr>
        <w:ind w:left="720" w:hanging="360"/>
      </w:pPr>
      <w:rPr>
        <w:rFonts w:ascii="Symbol" w:hAnsi="Symbo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3E12F97"/>
    <w:multiLevelType w:val="hybridMultilevel"/>
    <w:tmpl w:val="5B867AEE"/>
    <w:lvl w:ilvl="0" w:tplc="2C0A0001">
      <w:start w:val="1"/>
      <w:numFmt w:val="bullet"/>
      <w:lvlText w:val=""/>
      <w:lvlJc w:val="left"/>
      <w:pPr>
        <w:ind w:left="0" w:hanging="360"/>
      </w:pPr>
      <w:rPr>
        <w:rFonts w:ascii="Symbol" w:hAnsi="Symbol" w:hint="default"/>
      </w:rPr>
    </w:lvl>
    <w:lvl w:ilvl="1" w:tplc="2C0A0003" w:tentative="1">
      <w:start w:val="1"/>
      <w:numFmt w:val="bullet"/>
      <w:lvlText w:val="o"/>
      <w:lvlJc w:val="left"/>
      <w:pPr>
        <w:ind w:left="720" w:hanging="360"/>
      </w:pPr>
      <w:rPr>
        <w:rFonts w:ascii="Courier New" w:hAnsi="Courier New" w:cs="Courier New" w:hint="default"/>
      </w:rPr>
    </w:lvl>
    <w:lvl w:ilvl="2" w:tplc="2C0A0005" w:tentative="1">
      <w:start w:val="1"/>
      <w:numFmt w:val="bullet"/>
      <w:lvlText w:val=""/>
      <w:lvlJc w:val="left"/>
      <w:pPr>
        <w:ind w:left="1440" w:hanging="360"/>
      </w:pPr>
      <w:rPr>
        <w:rFonts w:ascii="Wingdings" w:hAnsi="Wingdings" w:hint="default"/>
      </w:rPr>
    </w:lvl>
    <w:lvl w:ilvl="3" w:tplc="2C0A0001" w:tentative="1">
      <w:start w:val="1"/>
      <w:numFmt w:val="bullet"/>
      <w:lvlText w:val=""/>
      <w:lvlJc w:val="left"/>
      <w:pPr>
        <w:ind w:left="2160" w:hanging="360"/>
      </w:pPr>
      <w:rPr>
        <w:rFonts w:ascii="Symbol" w:hAnsi="Symbol" w:hint="default"/>
      </w:rPr>
    </w:lvl>
    <w:lvl w:ilvl="4" w:tplc="2C0A0003" w:tentative="1">
      <w:start w:val="1"/>
      <w:numFmt w:val="bullet"/>
      <w:lvlText w:val="o"/>
      <w:lvlJc w:val="left"/>
      <w:pPr>
        <w:ind w:left="2880" w:hanging="360"/>
      </w:pPr>
      <w:rPr>
        <w:rFonts w:ascii="Courier New" w:hAnsi="Courier New" w:cs="Courier New" w:hint="default"/>
      </w:rPr>
    </w:lvl>
    <w:lvl w:ilvl="5" w:tplc="2C0A0005" w:tentative="1">
      <w:start w:val="1"/>
      <w:numFmt w:val="bullet"/>
      <w:lvlText w:val=""/>
      <w:lvlJc w:val="left"/>
      <w:pPr>
        <w:ind w:left="3600" w:hanging="360"/>
      </w:pPr>
      <w:rPr>
        <w:rFonts w:ascii="Wingdings" w:hAnsi="Wingdings" w:hint="default"/>
      </w:rPr>
    </w:lvl>
    <w:lvl w:ilvl="6" w:tplc="2C0A0001" w:tentative="1">
      <w:start w:val="1"/>
      <w:numFmt w:val="bullet"/>
      <w:lvlText w:val=""/>
      <w:lvlJc w:val="left"/>
      <w:pPr>
        <w:ind w:left="4320" w:hanging="360"/>
      </w:pPr>
      <w:rPr>
        <w:rFonts w:ascii="Symbol" w:hAnsi="Symbol" w:hint="default"/>
      </w:rPr>
    </w:lvl>
    <w:lvl w:ilvl="7" w:tplc="2C0A0003" w:tentative="1">
      <w:start w:val="1"/>
      <w:numFmt w:val="bullet"/>
      <w:lvlText w:val="o"/>
      <w:lvlJc w:val="left"/>
      <w:pPr>
        <w:ind w:left="5040" w:hanging="360"/>
      </w:pPr>
      <w:rPr>
        <w:rFonts w:ascii="Courier New" w:hAnsi="Courier New" w:cs="Courier New" w:hint="default"/>
      </w:rPr>
    </w:lvl>
    <w:lvl w:ilvl="8" w:tplc="2C0A0005" w:tentative="1">
      <w:start w:val="1"/>
      <w:numFmt w:val="bullet"/>
      <w:lvlText w:val=""/>
      <w:lvlJc w:val="left"/>
      <w:pPr>
        <w:ind w:left="5760" w:hanging="360"/>
      </w:pPr>
      <w:rPr>
        <w:rFonts w:ascii="Wingdings" w:hAnsi="Wingdings" w:hint="default"/>
      </w:rPr>
    </w:lvl>
  </w:abstractNum>
  <w:abstractNum w:abstractNumId="15" w15:restartNumberingAfterBreak="0">
    <w:nsid w:val="59E90F09"/>
    <w:multiLevelType w:val="hybridMultilevel"/>
    <w:tmpl w:val="33DA94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62C7E47"/>
    <w:multiLevelType w:val="hybridMultilevel"/>
    <w:tmpl w:val="7696BF30"/>
    <w:lvl w:ilvl="0" w:tplc="2C0A0001">
      <w:start w:val="1"/>
      <w:numFmt w:val="bullet"/>
      <w:lvlText w:val=""/>
      <w:lvlJc w:val="left"/>
      <w:pPr>
        <w:ind w:left="2487" w:hanging="360"/>
      </w:pPr>
      <w:rPr>
        <w:rFonts w:ascii="Symbol" w:hAnsi="Symbol" w:hint="default"/>
      </w:rPr>
    </w:lvl>
    <w:lvl w:ilvl="1" w:tplc="2C0A0003" w:tentative="1">
      <w:start w:val="1"/>
      <w:numFmt w:val="bullet"/>
      <w:lvlText w:val="o"/>
      <w:lvlJc w:val="left"/>
      <w:pPr>
        <w:ind w:left="3207" w:hanging="360"/>
      </w:pPr>
      <w:rPr>
        <w:rFonts w:ascii="Courier New" w:hAnsi="Courier New" w:cs="Courier New" w:hint="default"/>
      </w:rPr>
    </w:lvl>
    <w:lvl w:ilvl="2" w:tplc="2C0A0005" w:tentative="1">
      <w:start w:val="1"/>
      <w:numFmt w:val="bullet"/>
      <w:lvlText w:val=""/>
      <w:lvlJc w:val="left"/>
      <w:pPr>
        <w:ind w:left="3927" w:hanging="360"/>
      </w:pPr>
      <w:rPr>
        <w:rFonts w:ascii="Wingdings" w:hAnsi="Wingdings" w:hint="default"/>
      </w:rPr>
    </w:lvl>
    <w:lvl w:ilvl="3" w:tplc="2C0A0001" w:tentative="1">
      <w:start w:val="1"/>
      <w:numFmt w:val="bullet"/>
      <w:lvlText w:val=""/>
      <w:lvlJc w:val="left"/>
      <w:pPr>
        <w:ind w:left="4647" w:hanging="360"/>
      </w:pPr>
      <w:rPr>
        <w:rFonts w:ascii="Symbol" w:hAnsi="Symbol" w:hint="default"/>
      </w:rPr>
    </w:lvl>
    <w:lvl w:ilvl="4" w:tplc="2C0A0003" w:tentative="1">
      <w:start w:val="1"/>
      <w:numFmt w:val="bullet"/>
      <w:lvlText w:val="o"/>
      <w:lvlJc w:val="left"/>
      <w:pPr>
        <w:ind w:left="5367" w:hanging="360"/>
      </w:pPr>
      <w:rPr>
        <w:rFonts w:ascii="Courier New" w:hAnsi="Courier New" w:cs="Courier New" w:hint="default"/>
      </w:rPr>
    </w:lvl>
    <w:lvl w:ilvl="5" w:tplc="2C0A0005" w:tentative="1">
      <w:start w:val="1"/>
      <w:numFmt w:val="bullet"/>
      <w:lvlText w:val=""/>
      <w:lvlJc w:val="left"/>
      <w:pPr>
        <w:ind w:left="6087" w:hanging="360"/>
      </w:pPr>
      <w:rPr>
        <w:rFonts w:ascii="Wingdings" w:hAnsi="Wingdings" w:hint="default"/>
      </w:rPr>
    </w:lvl>
    <w:lvl w:ilvl="6" w:tplc="2C0A0001" w:tentative="1">
      <w:start w:val="1"/>
      <w:numFmt w:val="bullet"/>
      <w:lvlText w:val=""/>
      <w:lvlJc w:val="left"/>
      <w:pPr>
        <w:ind w:left="6807" w:hanging="360"/>
      </w:pPr>
      <w:rPr>
        <w:rFonts w:ascii="Symbol" w:hAnsi="Symbol" w:hint="default"/>
      </w:rPr>
    </w:lvl>
    <w:lvl w:ilvl="7" w:tplc="2C0A0003" w:tentative="1">
      <w:start w:val="1"/>
      <w:numFmt w:val="bullet"/>
      <w:lvlText w:val="o"/>
      <w:lvlJc w:val="left"/>
      <w:pPr>
        <w:ind w:left="7527" w:hanging="360"/>
      </w:pPr>
      <w:rPr>
        <w:rFonts w:ascii="Courier New" w:hAnsi="Courier New" w:cs="Courier New" w:hint="default"/>
      </w:rPr>
    </w:lvl>
    <w:lvl w:ilvl="8" w:tplc="2C0A0005" w:tentative="1">
      <w:start w:val="1"/>
      <w:numFmt w:val="bullet"/>
      <w:lvlText w:val=""/>
      <w:lvlJc w:val="left"/>
      <w:pPr>
        <w:ind w:left="8247" w:hanging="360"/>
      </w:pPr>
      <w:rPr>
        <w:rFonts w:ascii="Wingdings" w:hAnsi="Wingdings" w:hint="default"/>
      </w:rPr>
    </w:lvl>
  </w:abstractNum>
  <w:abstractNum w:abstractNumId="17" w15:restartNumberingAfterBreak="0">
    <w:nsid w:val="79074F5C"/>
    <w:multiLevelType w:val="hybridMultilevel"/>
    <w:tmpl w:val="0A42CB42"/>
    <w:lvl w:ilvl="0" w:tplc="2B1C286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9"/>
  </w:num>
  <w:num w:numId="3">
    <w:abstractNumId w:val="7"/>
  </w:num>
  <w:num w:numId="4">
    <w:abstractNumId w:val="1"/>
  </w:num>
  <w:num w:numId="5">
    <w:abstractNumId w:val="13"/>
  </w:num>
  <w:num w:numId="6">
    <w:abstractNumId w:val="2"/>
  </w:num>
  <w:num w:numId="7">
    <w:abstractNumId w:val="4"/>
  </w:num>
  <w:num w:numId="8">
    <w:abstractNumId w:val="10"/>
  </w:num>
  <w:num w:numId="9">
    <w:abstractNumId w:val="16"/>
  </w:num>
  <w:num w:numId="10">
    <w:abstractNumId w:val="15"/>
  </w:num>
  <w:num w:numId="11">
    <w:abstractNumId w:val="12"/>
  </w:num>
  <w:num w:numId="12">
    <w:abstractNumId w:val="3"/>
  </w:num>
  <w:num w:numId="13">
    <w:abstractNumId w:val="11"/>
  </w:num>
  <w:num w:numId="14">
    <w:abstractNumId w:val="6"/>
  </w:num>
  <w:num w:numId="15">
    <w:abstractNumId w:val="17"/>
  </w:num>
  <w:num w:numId="16">
    <w:abstractNumId w:val="8"/>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BB"/>
    <w:rsid w:val="00000741"/>
    <w:rsid w:val="00001879"/>
    <w:rsid w:val="000018BA"/>
    <w:rsid w:val="00004615"/>
    <w:rsid w:val="00004B20"/>
    <w:rsid w:val="00004BC3"/>
    <w:rsid w:val="00006408"/>
    <w:rsid w:val="000078A9"/>
    <w:rsid w:val="000112EB"/>
    <w:rsid w:val="00011337"/>
    <w:rsid w:val="00011B13"/>
    <w:rsid w:val="00011D93"/>
    <w:rsid w:val="00014077"/>
    <w:rsid w:val="000145E6"/>
    <w:rsid w:val="00014D05"/>
    <w:rsid w:val="00014ED3"/>
    <w:rsid w:val="00017572"/>
    <w:rsid w:val="000221AF"/>
    <w:rsid w:val="000222C0"/>
    <w:rsid w:val="0002246E"/>
    <w:rsid w:val="0002403E"/>
    <w:rsid w:val="00024703"/>
    <w:rsid w:val="000251CE"/>
    <w:rsid w:val="00026F06"/>
    <w:rsid w:val="00031ADB"/>
    <w:rsid w:val="00032B29"/>
    <w:rsid w:val="00033095"/>
    <w:rsid w:val="00033DAF"/>
    <w:rsid w:val="00040997"/>
    <w:rsid w:val="00040CC5"/>
    <w:rsid w:val="000410D0"/>
    <w:rsid w:val="00041AD3"/>
    <w:rsid w:val="00043A76"/>
    <w:rsid w:val="00043ABB"/>
    <w:rsid w:val="0004498D"/>
    <w:rsid w:val="00044B45"/>
    <w:rsid w:val="000455AA"/>
    <w:rsid w:val="00047A61"/>
    <w:rsid w:val="00047B47"/>
    <w:rsid w:val="00055692"/>
    <w:rsid w:val="00055E03"/>
    <w:rsid w:val="00055EE6"/>
    <w:rsid w:val="00056FCD"/>
    <w:rsid w:val="0006047C"/>
    <w:rsid w:val="00061615"/>
    <w:rsid w:val="0006231F"/>
    <w:rsid w:val="000635DB"/>
    <w:rsid w:val="000654D1"/>
    <w:rsid w:val="00065B83"/>
    <w:rsid w:val="00066CEC"/>
    <w:rsid w:val="00070B1C"/>
    <w:rsid w:val="000716BD"/>
    <w:rsid w:val="000725EF"/>
    <w:rsid w:val="000771AB"/>
    <w:rsid w:val="00080581"/>
    <w:rsid w:val="00080AA5"/>
    <w:rsid w:val="00080EE3"/>
    <w:rsid w:val="000811E8"/>
    <w:rsid w:val="00082E5A"/>
    <w:rsid w:val="00083102"/>
    <w:rsid w:val="00084173"/>
    <w:rsid w:val="0008525A"/>
    <w:rsid w:val="000854E9"/>
    <w:rsid w:val="00086C1A"/>
    <w:rsid w:val="00087965"/>
    <w:rsid w:val="00087D9B"/>
    <w:rsid w:val="00090451"/>
    <w:rsid w:val="00092990"/>
    <w:rsid w:val="00093E08"/>
    <w:rsid w:val="00095A85"/>
    <w:rsid w:val="00096961"/>
    <w:rsid w:val="000A2483"/>
    <w:rsid w:val="000A267E"/>
    <w:rsid w:val="000A2BEE"/>
    <w:rsid w:val="000A4633"/>
    <w:rsid w:val="000A49AB"/>
    <w:rsid w:val="000A5321"/>
    <w:rsid w:val="000A5848"/>
    <w:rsid w:val="000A7484"/>
    <w:rsid w:val="000A7B45"/>
    <w:rsid w:val="000B0D61"/>
    <w:rsid w:val="000B0EEE"/>
    <w:rsid w:val="000B129F"/>
    <w:rsid w:val="000B13E7"/>
    <w:rsid w:val="000B189C"/>
    <w:rsid w:val="000B2002"/>
    <w:rsid w:val="000B4963"/>
    <w:rsid w:val="000B5C8A"/>
    <w:rsid w:val="000B6F2B"/>
    <w:rsid w:val="000C06FD"/>
    <w:rsid w:val="000C0BBB"/>
    <w:rsid w:val="000C1195"/>
    <w:rsid w:val="000C19CE"/>
    <w:rsid w:val="000C1C80"/>
    <w:rsid w:val="000C222B"/>
    <w:rsid w:val="000C3343"/>
    <w:rsid w:val="000C33EC"/>
    <w:rsid w:val="000C531D"/>
    <w:rsid w:val="000C6717"/>
    <w:rsid w:val="000C7520"/>
    <w:rsid w:val="000C75DA"/>
    <w:rsid w:val="000D0170"/>
    <w:rsid w:val="000D1E11"/>
    <w:rsid w:val="000D20D3"/>
    <w:rsid w:val="000D2F3E"/>
    <w:rsid w:val="000D3E28"/>
    <w:rsid w:val="000D6A6D"/>
    <w:rsid w:val="000D77B2"/>
    <w:rsid w:val="000D7CE4"/>
    <w:rsid w:val="000E0253"/>
    <w:rsid w:val="000E0616"/>
    <w:rsid w:val="000E4500"/>
    <w:rsid w:val="000E4C53"/>
    <w:rsid w:val="000E4DF8"/>
    <w:rsid w:val="000E507A"/>
    <w:rsid w:val="000E6702"/>
    <w:rsid w:val="000E6AB2"/>
    <w:rsid w:val="000E6D69"/>
    <w:rsid w:val="000E7756"/>
    <w:rsid w:val="000F1356"/>
    <w:rsid w:val="000F2C84"/>
    <w:rsid w:val="000F3528"/>
    <w:rsid w:val="000F622E"/>
    <w:rsid w:val="000F65C9"/>
    <w:rsid w:val="000F74A2"/>
    <w:rsid w:val="000F7BFD"/>
    <w:rsid w:val="000F7FDD"/>
    <w:rsid w:val="001014F1"/>
    <w:rsid w:val="00101E4E"/>
    <w:rsid w:val="00105D2B"/>
    <w:rsid w:val="00106F2F"/>
    <w:rsid w:val="00110655"/>
    <w:rsid w:val="00111455"/>
    <w:rsid w:val="00112479"/>
    <w:rsid w:val="001129B4"/>
    <w:rsid w:val="001142FB"/>
    <w:rsid w:val="00117B10"/>
    <w:rsid w:val="00120B00"/>
    <w:rsid w:val="001214EE"/>
    <w:rsid w:val="00121C1F"/>
    <w:rsid w:val="00123CA5"/>
    <w:rsid w:val="00125321"/>
    <w:rsid w:val="00125A4B"/>
    <w:rsid w:val="00126C58"/>
    <w:rsid w:val="001277BC"/>
    <w:rsid w:val="001311C8"/>
    <w:rsid w:val="0013519B"/>
    <w:rsid w:val="001356B8"/>
    <w:rsid w:val="001359E3"/>
    <w:rsid w:val="0013608D"/>
    <w:rsid w:val="0014021B"/>
    <w:rsid w:val="00140EE5"/>
    <w:rsid w:val="00141884"/>
    <w:rsid w:val="00141965"/>
    <w:rsid w:val="00142883"/>
    <w:rsid w:val="00142B5D"/>
    <w:rsid w:val="00143025"/>
    <w:rsid w:val="00145134"/>
    <w:rsid w:val="001462FB"/>
    <w:rsid w:val="001464D8"/>
    <w:rsid w:val="00146540"/>
    <w:rsid w:val="0014764A"/>
    <w:rsid w:val="001478CB"/>
    <w:rsid w:val="001510A3"/>
    <w:rsid w:val="00151422"/>
    <w:rsid w:val="00151D7D"/>
    <w:rsid w:val="00155870"/>
    <w:rsid w:val="00157D06"/>
    <w:rsid w:val="00160106"/>
    <w:rsid w:val="00160380"/>
    <w:rsid w:val="0016056E"/>
    <w:rsid w:val="00162879"/>
    <w:rsid w:val="00163CCB"/>
    <w:rsid w:val="00163E0D"/>
    <w:rsid w:val="00164A4C"/>
    <w:rsid w:val="0016505F"/>
    <w:rsid w:val="00166076"/>
    <w:rsid w:val="00166162"/>
    <w:rsid w:val="00167100"/>
    <w:rsid w:val="001743A3"/>
    <w:rsid w:val="00176395"/>
    <w:rsid w:val="00176E1E"/>
    <w:rsid w:val="0017747C"/>
    <w:rsid w:val="001801F2"/>
    <w:rsid w:val="00180497"/>
    <w:rsid w:val="00182608"/>
    <w:rsid w:val="00182E18"/>
    <w:rsid w:val="0018370F"/>
    <w:rsid w:val="00183EB1"/>
    <w:rsid w:val="00184330"/>
    <w:rsid w:val="0018577D"/>
    <w:rsid w:val="00186120"/>
    <w:rsid w:val="00186206"/>
    <w:rsid w:val="00186291"/>
    <w:rsid w:val="001875C1"/>
    <w:rsid w:val="001907B0"/>
    <w:rsid w:val="001916B5"/>
    <w:rsid w:val="00191BFE"/>
    <w:rsid w:val="00194FFF"/>
    <w:rsid w:val="00195A11"/>
    <w:rsid w:val="001965EE"/>
    <w:rsid w:val="00197073"/>
    <w:rsid w:val="0019782E"/>
    <w:rsid w:val="00197CAC"/>
    <w:rsid w:val="001A0488"/>
    <w:rsid w:val="001A0681"/>
    <w:rsid w:val="001A35A3"/>
    <w:rsid w:val="001A46B8"/>
    <w:rsid w:val="001A4C4D"/>
    <w:rsid w:val="001A559A"/>
    <w:rsid w:val="001A5BCB"/>
    <w:rsid w:val="001A5EFF"/>
    <w:rsid w:val="001A5FC0"/>
    <w:rsid w:val="001A6B28"/>
    <w:rsid w:val="001A70BE"/>
    <w:rsid w:val="001B0118"/>
    <w:rsid w:val="001B0804"/>
    <w:rsid w:val="001B17F7"/>
    <w:rsid w:val="001B2045"/>
    <w:rsid w:val="001B20C5"/>
    <w:rsid w:val="001B3F51"/>
    <w:rsid w:val="001B4598"/>
    <w:rsid w:val="001B4FB0"/>
    <w:rsid w:val="001B5FD6"/>
    <w:rsid w:val="001B71D4"/>
    <w:rsid w:val="001C0145"/>
    <w:rsid w:val="001C0B74"/>
    <w:rsid w:val="001C1F4B"/>
    <w:rsid w:val="001C2410"/>
    <w:rsid w:val="001C27EF"/>
    <w:rsid w:val="001C2B90"/>
    <w:rsid w:val="001C3D3F"/>
    <w:rsid w:val="001C5642"/>
    <w:rsid w:val="001C611C"/>
    <w:rsid w:val="001C6F15"/>
    <w:rsid w:val="001C71E2"/>
    <w:rsid w:val="001C7AE5"/>
    <w:rsid w:val="001C7C04"/>
    <w:rsid w:val="001D2871"/>
    <w:rsid w:val="001D750A"/>
    <w:rsid w:val="001E0373"/>
    <w:rsid w:val="001E0723"/>
    <w:rsid w:val="001E0B85"/>
    <w:rsid w:val="001E100C"/>
    <w:rsid w:val="001E3077"/>
    <w:rsid w:val="001E3E10"/>
    <w:rsid w:val="001E458F"/>
    <w:rsid w:val="001E45F2"/>
    <w:rsid w:val="001E4CD1"/>
    <w:rsid w:val="001E5064"/>
    <w:rsid w:val="001E792A"/>
    <w:rsid w:val="001F034C"/>
    <w:rsid w:val="001F04B3"/>
    <w:rsid w:val="001F086D"/>
    <w:rsid w:val="001F13A4"/>
    <w:rsid w:val="001F1CCA"/>
    <w:rsid w:val="001F389F"/>
    <w:rsid w:val="001F3EFD"/>
    <w:rsid w:val="001F50E1"/>
    <w:rsid w:val="001F6E5A"/>
    <w:rsid w:val="001F6F15"/>
    <w:rsid w:val="001F71D1"/>
    <w:rsid w:val="0020061C"/>
    <w:rsid w:val="0020110B"/>
    <w:rsid w:val="00202DB8"/>
    <w:rsid w:val="002047A6"/>
    <w:rsid w:val="0020504F"/>
    <w:rsid w:val="00205246"/>
    <w:rsid w:val="00206806"/>
    <w:rsid w:val="0020782C"/>
    <w:rsid w:val="00207F03"/>
    <w:rsid w:val="00220678"/>
    <w:rsid w:val="00221396"/>
    <w:rsid w:val="002225DF"/>
    <w:rsid w:val="00222E3E"/>
    <w:rsid w:val="0022780B"/>
    <w:rsid w:val="00227882"/>
    <w:rsid w:val="00227CE9"/>
    <w:rsid w:val="00230845"/>
    <w:rsid w:val="00230BE6"/>
    <w:rsid w:val="002323AF"/>
    <w:rsid w:val="00232BCA"/>
    <w:rsid w:val="00234327"/>
    <w:rsid w:val="00234D8B"/>
    <w:rsid w:val="00237F0C"/>
    <w:rsid w:val="002405E2"/>
    <w:rsid w:val="0024182C"/>
    <w:rsid w:val="00242290"/>
    <w:rsid w:val="00243F1A"/>
    <w:rsid w:val="00244D4B"/>
    <w:rsid w:val="00245F5F"/>
    <w:rsid w:val="0025282D"/>
    <w:rsid w:val="00255937"/>
    <w:rsid w:val="002559D1"/>
    <w:rsid w:val="002561EF"/>
    <w:rsid w:val="00256ABA"/>
    <w:rsid w:val="00260014"/>
    <w:rsid w:val="00260C43"/>
    <w:rsid w:val="00262EDB"/>
    <w:rsid w:val="002637E3"/>
    <w:rsid w:val="00264B21"/>
    <w:rsid w:val="00265DCD"/>
    <w:rsid w:val="002667D8"/>
    <w:rsid w:val="002674A0"/>
    <w:rsid w:val="00270470"/>
    <w:rsid w:val="00271498"/>
    <w:rsid w:val="00272267"/>
    <w:rsid w:val="0027268A"/>
    <w:rsid w:val="00273145"/>
    <w:rsid w:val="00273F65"/>
    <w:rsid w:val="0027415D"/>
    <w:rsid w:val="002757A6"/>
    <w:rsid w:val="00277B87"/>
    <w:rsid w:val="00280E95"/>
    <w:rsid w:val="00282491"/>
    <w:rsid w:val="002826DC"/>
    <w:rsid w:val="0028274C"/>
    <w:rsid w:val="00283214"/>
    <w:rsid w:val="00283241"/>
    <w:rsid w:val="00283C80"/>
    <w:rsid w:val="00284AEF"/>
    <w:rsid w:val="00285619"/>
    <w:rsid w:val="002878B2"/>
    <w:rsid w:val="00287DC3"/>
    <w:rsid w:val="002916A6"/>
    <w:rsid w:val="002920FE"/>
    <w:rsid w:val="00292298"/>
    <w:rsid w:val="002928C5"/>
    <w:rsid w:val="002948B2"/>
    <w:rsid w:val="00294FA5"/>
    <w:rsid w:val="002964F4"/>
    <w:rsid w:val="002972D4"/>
    <w:rsid w:val="00297CF0"/>
    <w:rsid w:val="002A0A59"/>
    <w:rsid w:val="002A0C2E"/>
    <w:rsid w:val="002A1849"/>
    <w:rsid w:val="002A1FCB"/>
    <w:rsid w:val="002A2F58"/>
    <w:rsid w:val="002A6E1E"/>
    <w:rsid w:val="002A6F96"/>
    <w:rsid w:val="002B0C40"/>
    <w:rsid w:val="002B3EF1"/>
    <w:rsid w:val="002B4640"/>
    <w:rsid w:val="002B5740"/>
    <w:rsid w:val="002B717D"/>
    <w:rsid w:val="002B7875"/>
    <w:rsid w:val="002B7CDC"/>
    <w:rsid w:val="002C0EC1"/>
    <w:rsid w:val="002C11DF"/>
    <w:rsid w:val="002C1436"/>
    <w:rsid w:val="002C3EE9"/>
    <w:rsid w:val="002C4D05"/>
    <w:rsid w:val="002C532D"/>
    <w:rsid w:val="002C5547"/>
    <w:rsid w:val="002C62B6"/>
    <w:rsid w:val="002C6441"/>
    <w:rsid w:val="002D131E"/>
    <w:rsid w:val="002D37A3"/>
    <w:rsid w:val="002D5B73"/>
    <w:rsid w:val="002D6583"/>
    <w:rsid w:val="002E1023"/>
    <w:rsid w:val="002E26AA"/>
    <w:rsid w:val="002E2A50"/>
    <w:rsid w:val="002E4386"/>
    <w:rsid w:val="002E5606"/>
    <w:rsid w:val="002E5B19"/>
    <w:rsid w:val="002E5F72"/>
    <w:rsid w:val="002E6954"/>
    <w:rsid w:val="002E7284"/>
    <w:rsid w:val="002F0455"/>
    <w:rsid w:val="002F0566"/>
    <w:rsid w:val="002F1A3B"/>
    <w:rsid w:val="002F3268"/>
    <w:rsid w:val="002F4223"/>
    <w:rsid w:val="002F5915"/>
    <w:rsid w:val="002F5B12"/>
    <w:rsid w:val="002F61BD"/>
    <w:rsid w:val="002F7F10"/>
    <w:rsid w:val="00300A8E"/>
    <w:rsid w:val="00301FB5"/>
    <w:rsid w:val="00303091"/>
    <w:rsid w:val="003037B6"/>
    <w:rsid w:val="00303D56"/>
    <w:rsid w:val="00304CE7"/>
    <w:rsid w:val="0030516E"/>
    <w:rsid w:val="00305633"/>
    <w:rsid w:val="0030591A"/>
    <w:rsid w:val="0030685D"/>
    <w:rsid w:val="0030692A"/>
    <w:rsid w:val="00306D9E"/>
    <w:rsid w:val="00310833"/>
    <w:rsid w:val="00311A41"/>
    <w:rsid w:val="00311DE0"/>
    <w:rsid w:val="003132CB"/>
    <w:rsid w:val="00314762"/>
    <w:rsid w:val="00314AE7"/>
    <w:rsid w:val="00316C0F"/>
    <w:rsid w:val="00317077"/>
    <w:rsid w:val="00317537"/>
    <w:rsid w:val="00321AD8"/>
    <w:rsid w:val="00322BBB"/>
    <w:rsid w:val="00325B5C"/>
    <w:rsid w:val="00326B8F"/>
    <w:rsid w:val="00326C39"/>
    <w:rsid w:val="00326E99"/>
    <w:rsid w:val="00330018"/>
    <w:rsid w:val="00330598"/>
    <w:rsid w:val="0033391A"/>
    <w:rsid w:val="00334756"/>
    <w:rsid w:val="0033563D"/>
    <w:rsid w:val="00341D1E"/>
    <w:rsid w:val="0034294A"/>
    <w:rsid w:val="003454B3"/>
    <w:rsid w:val="00345B5C"/>
    <w:rsid w:val="00345CED"/>
    <w:rsid w:val="0034686C"/>
    <w:rsid w:val="00347031"/>
    <w:rsid w:val="003501BB"/>
    <w:rsid w:val="00350682"/>
    <w:rsid w:val="00350C7C"/>
    <w:rsid w:val="003519BC"/>
    <w:rsid w:val="00351FC3"/>
    <w:rsid w:val="003521E1"/>
    <w:rsid w:val="00352FB3"/>
    <w:rsid w:val="00354686"/>
    <w:rsid w:val="003558D2"/>
    <w:rsid w:val="00355DE2"/>
    <w:rsid w:val="003573E7"/>
    <w:rsid w:val="003576B9"/>
    <w:rsid w:val="00360E2A"/>
    <w:rsid w:val="00361828"/>
    <w:rsid w:val="00361B25"/>
    <w:rsid w:val="003635CC"/>
    <w:rsid w:val="0036372B"/>
    <w:rsid w:val="003637D8"/>
    <w:rsid w:val="00364F42"/>
    <w:rsid w:val="00365835"/>
    <w:rsid w:val="0036699B"/>
    <w:rsid w:val="00366BB8"/>
    <w:rsid w:val="00367208"/>
    <w:rsid w:val="00367851"/>
    <w:rsid w:val="0037087A"/>
    <w:rsid w:val="00370B13"/>
    <w:rsid w:val="0037302A"/>
    <w:rsid w:val="0037353A"/>
    <w:rsid w:val="003749E1"/>
    <w:rsid w:val="00375D92"/>
    <w:rsid w:val="0037617A"/>
    <w:rsid w:val="0037775E"/>
    <w:rsid w:val="0038076D"/>
    <w:rsid w:val="00381C21"/>
    <w:rsid w:val="00382E23"/>
    <w:rsid w:val="003838B4"/>
    <w:rsid w:val="00383B5D"/>
    <w:rsid w:val="003847A0"/>
    <w:rsid w:val="003847E2"/>
    <w:rsid w:val="00384C89"/>
    <w:rsid w:val="00384F32"/>
    <w:rsid w:val="00385602"/>
    <w:rsid w:val="00385E42"/>
    <w:rsid w:val="00386D3F"/>
    <w:rsid w:val="00390E71"/>
    <w:rsid w:val="00391481"/>
    <w:rsid w:val="00391D84"/>
    <w:rsid w:val="00394977"/>
    <w:rsid w:val="00395319"/>
    <w:rsid w:val="00395CD3"/>
    <w:rsid w:val="00396931"/>
    <w:rsid w:val="003A022B"/>
    <w:rsid w:val="003A08BA"/>
    <w:rsid w:val="003A2153"/>
    <w:rsid w:val="003A26FF"/>
    <w:rsid w:val="003A39C5"/>
    <w:rsid w:val="003A39DA"/>
    <w:rsid w:val="003A50BA"/>
    <w:rsid w:val="003A61A2"/>
    <w:rsid w:val="003A69E1"/>
    <w:rsid w:val="003A6E9D"/>
    <w:rsid w:val="003A766E"/>
    <w:rsid w:val="003B05FC"/>
    <w:rsid w:val="003B102A"/>
    <w:rsid w:val="003B13B8"/>
    <w:rsid w:val="003B308A"/>
    <w:rsid w:val="003B4DE2"/>
    <w:rsid w:val="003B5FE4"/>
    <w:rsid w:val="003B69EF"/>
    <w:rsid w:val="003B6A31"/>
    <w:rsid w:val="003B71FD"/>
    <w:rsid w:val="003C33C3"/>
    <w:rsid w:val="003C448C"/>
    <w:rsid w:val="003C4A2D"/>
    <w:rsid w:val="003C4FA1"/>
    <w:rsid w:val="003C5465"/>
    <w:rsid w:val="003C56A9"/>
    <w:rsid w:val="003C75FE"/>
    <w:rsid w:val="003D020B"/>
    <w:rsid w:val="003D0805"/>
    <w:rsid w:val="003D0B43"/>
    <w:rsid w:val="003D1327"/>
    <w:rsid w:val="003D1FDA"/>
    <w:rsid w:val="003D2E43"/>
    <w:rsid w:val="003D2E91"/>
    <w:rsid w:val="003D596C"/>
    <w:rsid w:val="003D6A8B"/>
    <w:rsid w:val="003D6EE6"/>
    <w:rsid w:val="003D73BC"/>
    <w:rsid w:val="003D7D84"/>
    <w:rsid w:val="003E0BE9"/>
    <w:rsid w:val="003E0CEF"/>
    <w:rsid w:val="003E2A16"/>
    <w:rsid w:val="003E333C"/>
    <w:rsid w:val="003E34AB"/>
    <w:rsid w:val="003E3C44"/>
    <w:rsid w:val="003E6AF9"/>
    <w:rsid w:val="003E73E8"/>
    <w:rsid w:val="003E7BCC"/>
    <w:rsid w:val="003F1618"/>
    <w:rsid w:val="003F1666"/>
    <w:rsid w:val="003F25E1"/>
    <w:rsid w:val="003F2D16"/>
    <w:rsid w:val="003F373C"/>
    <w:rsid w:val="00400752"/>
    <w:rsid w:val="00401F29"/>
    <w:rsid w:val="00403BDE"/>
    <w:rsid w:val="00405B14"/>
    <w:rsid w:val="00405C6F"/>
    <w:rsid w:val="004067D9"/>
    <w:rsid w:val="00407FD4"/>
    <w:rsid w:val="00411CD7"/>
    <w:rsid w:val="00413370"/>
    <w:rsid w:val="00414630"/>
    <w:rsid w:val="00414A4F"/>
    <w:rsid w:val="00414CF9"/>
    <w:rsid w:val="004155F4"/>
    <w:rsid w:val="00417007"/>
    <w:rsid w:val="00420971"/>
    <w:rsid w:val="00421BBE"/>
    <w:rsid w:val="00422286"/>
    <w:rsid w:val="004242BC"/>
    <w:rsid w:val="00424B43"/>
    <w:rsid w:val="0042521C"/>
    <w:rsid w:val="00425518"/>
    <w:rsid w:val="004264C5"/>
    <w:rsid w:val="00426DAE"/>
    <w:rsid w:val="00427795"/>
    <w:rsid w:val="00427F47"/>
    <w:rsid w:val="00431116"/>
    <w:rsid w:val="0043172F"/>
    <w:rsid w:val="00434C6E"/>
    <w:rsid w:val="004360C3"/>
    <w:rsid w:val="00436260"/>
    <w:rsid w:val="00436398"/>
    <w:rsid w:val="0043662E"/>
    <w:rsid w:val="00441D79"/>
    <w:rsid w:val="0044335D"/>
    <w:rsid w:val="00443C9A"/>
    <w:rsid w:val="00445D6A"/>
    <w:rsid w:val="00446A71"/>
    <w:rsid w:val="004501B2"/>
    <w:rsid w:val="004536D0"/>
    <w:rsid w:val="004546F7"/>
    <w:rsid w:val="00454A1B"/>
    <w:rsid w:val="00454F68"/>
    <w:rsid w:val="00455BDF"/>
    <w:rsid w:val="00456577"/>
    <w:rsid w:val="00457255"/>
    <w:rsid w:val="004605FA"/>
    <w:rsid w:val="00460F59"/>
    <w:rsid w:val="00461D36"/>
    <w:rsid w:val="00462611"/>
    <w:rsid w:val="00462F5E"/>
    <w:rsid w:val="004664F3"/>
    <w:rsid w:val="00470122"/>
    <w:rsid w:val="0047180E"/>
    <w:rsid w:val="00471A86"/>
    <w:rsid w:val="0047262B"/>
    <w:rsid w:val="00472B27"/>
    <w:rsid w:val="004730A3"/>
    <w:rsid w:val="004731C0"/>
    <w:rsid w:val="00475216"/>
    <w:rsid w:val="00475276"/>
    <w:rsid w:val="00476F47"/>
    <w:rsid w:val="0048010C"/>
    <w:rsid w:val="00480913"/>
    <w:rsid w:val="00482038"/>
    <w:rsid w:val="00482AE9"/>
    <w:rsid w:val="00483BAB"/>
    <w:rsid w:val="00486912"/>
    <w:rsid w:val="00490821"/>
    <w:rsid w:val="00491133"/>
    <w:rsid w:val="004912AA"/>
    <w:rsid w:val="004915C9"/>
    <w:rsid w:val="004918D5"/>
    <w:rsid w:val="00491D5F"/>
    <w:rsid w:val="00492045"/>
    <w:rsid w:val="0049361B"/>
    <w:rsid w:val="00494CC3"/>
    <w:rsid w:val="0049554D"/>
    <w:rsid w:val="004957D7"/>
    <w:rsid w:val="004961B8"/>
    <w:rsid w:val="00496962"/>
    <w:rsid w:val="00496D5E"/>
    <w:rsid w:val="00497615"/>
    <w:rsid w:val="004A154A"/>
    <w:rsid w:val="004A3580"/>
    <w:rsid w:val="004A4AB6"/>
    <w:rsid w:val="004A51C2"/>
    <w:rsid w:val="004A51CA"/>
    <w:rsid w:val="004A5C6F"/>
    <w:rsid w:val="004A6536"/>
    <w:rsid w:val="004B120D"/>
    <w:rsid w:val="004B12C2"/>
    <w:rsid w:val="004B131C"/>
    <w:rsid w:val="004B1ACA"/>
    <w:rsid w:val="004B2EAF"/>
    <w:rsid w:val="004B35CD"/>
    <w:rsid w:val="004B3B5F"/>
    <w:rsid w:val="004B4CC0"/>
    <w:rsid w:val="004B50E0"/>
    <w:rsid w:val="004B5FED"/>
    <w:rsid w:val="004B620B"/>
    <w:rsid w:val="004B6403"/>
    <w:rsid w:val="004C0426"/>
    <w:rsid w:val="004C219D"/>
    <w:rsid w:val="004C32FD"/>
    <w:rsid w:val="004C5150"/>
    <w:rsid w:val="004C5C16"/>
    <w:rsid w:val="004C680D"/>
    <w:rsid w:val="004C6F0E"/>
    <w:rsid w:val="004C6F9D"/>
    <w:rsid w:val="004D045F"/>
    <w:rsid w:val="004D0AE4"/>
    <w:rsid w:val="004D12E4"/>
    <w:rsid w:val="004D24D6"/>
    <w:rsid w:val="004D2B35"/>
    <w:rsid w:val="004D2DCD"/>
    <w:rsid w:val="004D4571"/>
    <w:rsid w:val="004D4CDF"/>
    <w:rsid w:val="004D53BE"/>
    <w:rsid w:val="004D621D"/>
    <w:rsid w:val="004D7BB3"/>
    <w:rsid w:val="004E210E"/>
    <w:rsid w:val="004E297F"/>
    <w:rsid w:val="004E5898"/>
    <w:rsid w:val="004F1ECA"/>
    <w:rsid w:val="004F1FC3"/>
    <w:rsid w:val="004F2109"/>
    <w:rsid w:val="004F469E"/>
    <w:rsid w:val="004F4735"/>
    <w:rsid w:val="004F5A9C"/>
    <w:rsid w:val="004F5C25"/>
    <w:rsid w:val="004F5ECF"/>
    <w:rsid w:val="004F7FF0"/>
    <w:rsid w:val="0050004E"/>
    <w:rsid w:val="00500EAB"/>
    <w:rsid w:val="00502628"/>
    <w:rsid w:val="00503613"/>
    <w:rsid w:val="00505FCD"/>
    <w:rsid w:val="00506808"/>
    <w:rsid w:val="005070EA"/>
    <w:rsid w:val="00507497"/>
    <w:rsid w:val="00507A53"/>
    <w:rsid w:val="00510C85"/>
    <w:rsid w:val="0051268C"/>
    <w:rsid w:val="00512FC3"/>
    <w:rsid w:val="00512FEB"/>
    <w:rsid w:val="00514DCF"/>
    <w:rsid w:val="00515184"/>
    <w:rsid w:val="00515C63"/>
    <w:rsid w:val="005171F9"/>
    <w:rsid w:val="005176F1"/>
    <w:rsid w:val="00520D07"/>
    <w:rsid w:val="00520E74"/>
    <w:rsid w:val="005213AA"/>
    <w:rsid w:val="00521DB2"/>
    <w:rsid w:val="00522F0B"/>
    <w:rsid w:val="00523207"/>
    <w:rsid w:val="00524044"/>
    <w:rsid w:val="00524667"/>
    <w:rsid w:val="0052529E"/>
    <w:rsid w:val="00530047"/>
    <w:rsid w:val="00533C60"/>
    <w:rsid w:val="0053451D"/>
    <w:rsid w:val="0053496C"/>
    <w:rsid w:val="005354F2"/>
    <w:rsid w:val="005355B2"/>
    <w:rsid w:val="00535873"/>
    <w:rsid w:val="00536E98"/>
    <w:rsid w:val="00537DE3"/>
    <w:rsid w:val="005405FD"/>
    <w:rsid w:val="00540BF9"/>
    <w:rsid w:val="0054134F"/>
    <w:rsid w:val="00543657"/>
    <w:rsid w:val="00543B64"/>
    <w:rsid w:val="00543D17"/>
    <w:rsid w:val="00544577"/>
    <w:rsid w:val="00545E3E"/>
    <w:rsid w:val="005461A4"/>
    <w:rsid w:val="00546883"/>
    <w:rsid w:val="005469AA"/>
    <w:rsid w:val="00546A37"/>
    <w:rsid w:val="005473F1"/>
    <w:rsid w:val="00550024"/>
    <w:rsid w:val="00550066"/>
    <w:rsid w:val="005504C8"/>
    <w:rsid w:val="00554FF5"/>
    <w:rsid w:val="0055670C"/>
    <w:rsid w:val="005568D1"/>
    <w:rsid w:val="00560822"/>
    <w:rsid w:val="005610C2"/>
    <w:rsid w:val="00562803"/>
    <w:rsid w:val="0056302E"/>
    <w:rsid w:val="00564DC7"/>
    <w:rsid w:val="00565030"/>
    <w:rsid w:val="00565F36"/>
    <w:rsid w:val="00567029"/>
    <w:rsid w:val="00567635"/>
    <w:rsid w:val="00570852"/>
    <w:rsid w:val="00571CA3"/>
    <w:rsid w:val="00576B5E"/>
    <w:rsid w:val="00576DA5"/>
    <w:rsid w:val="00576FB5"/>
    <w:rsid w:val="00581E42"/>
    <w:rsid w:val="00582923"/>
    <w:rsid w:val="0058369D"/>
    <w:rsid w:val="00583743"/>
    <w:rsid w:val="00583B25"/>
    <w:rsid w:val="0058487A"/>
    <w:rsid w:val="0058642E"/>
    <w:rsid w:val="00586682"/>
    <w:rsid w:val="00590565"/>
    <w:rsid w:val="00590D77"/>
    <w:rsid w:val="00591DAE"/>
    <w:rsid w:val="005945EA"/>
    <w:rsid w:val="00594ED3"/>
    <w:rsid w:val="00596394"/>
    <w:rsid w:val="00597043"/>
    <w:rsid w:val="005A13C5"/>
    <w:rsid w:val="005A285E"/>
    <w:rsid w:val="005A3324"/>
    <w:rsid w:val="005A47F4"/>
    <w:rsid w:val="005A497B"/>
    <w:rsid w:val="005A5C07"/>
    <w:rsid w:val="005A6486"/>
    <w:rsid w:val="005A6DBE"/>
    <w:rsid w:val="005A7D2E"/>
    <w:rsid w:val="005B075C"/>
    <w:rsid w:val="005B1AB3"/>
    <w:rsid w:val="005B28B1"/>
    <w:rsid w:val="005B2FD3"/>
    <w:rsid w:val="005B389E"/>
    <w:rsid w:val="005B42A9"/>
    <w:rsid w:val="005B5349"/>
    <w:rsid w:val="005B5F34"/>
    <w:rsid w:val="005B617C"/>
    <w:rsid w:val="005B69AB"/>
    <w:rsid w:val="005C03F6"/>
    <w:rsid w:val="005C2FDF"/>
    <w:rsid w:val="005C4E57"/>
    <w:rsid w:val="005C532B"/>
    <w:rsid w:val="005C56D9"/>
    <w:rsid w:val="005C59BC"/>
    <w:rsid w:val="005C666D"/>
    <w:rsid w:val="005C7216"/>
    <w:rsid w:val="005C7589"/>
    <w:rsid w:val="005D00A8"/>
    <w:rsid w:val="005D014F"/>
    <w:rsid w:val="005D273D"/>
    <w:rsid w:val="005D27FF"/>
    <w:rsid w:val="005D2879"/>
    <w:rsid w:val="005D4CD7"/>
    <w:rsid w:val="005D5210"/>
    <w:rsid w:val="005D558B"/>
    <w:rsid w:val="005D6FC6"/>
    <w:rsid w:val="005D71BC"/>
    <w:rsid w:val="005D727E"/>
    <w:rsid w:val="005E1206"/>
    <w:rsid w:val="005E4E5B"/>
    <w:rsid w:val="005E589F"/>
    <w:rsid w:val="005E7A60"/>
    <w:rsid w:val="005E7BFB"/>
    <w:rsid w:val="005F2214"/>
    <w:rsid w:val="005F2424"/>
    <w:rsid w:val="005F24E1"/>
    <w:rsid w:val="005F2CA5"/>
    <w:rsid w:val="005F3D27"/>
    <w:rsid w:val="005F5FBE"/>
    <w:rsid w:val="005F780D"/>
    <w:rsid w:val="00600BF6"/>
    <w:rsid w:val="006011FC"/>
    <w:rsid w:val="00603ABB"/>
    <w:rsid w:val="00606568"/>
    <w:rsid w:val="006067DE"/>
    <w:rsid w:val="00607196"/>
    <w:rsid w:val="00607247"/>
    <w:rsid w:val="0060771D"/>
    <w:rsid w:val="006115D2"/>
    <w:rsid w:val="006118FE"/>
    <w:rsid w:val="00611B5E"/>
    <w:rsid w:val="0061297B"/>
    <w:rsid w:val="0061409C"/>
    <w:rsid w:val="00615224"/>
    <w:rsid w:val="00615386"/>
    <w:rsid w:val="006169D5"/>
    <w:rsid w:val="0061701D"/>
    <w:rsid w:val="00620C36"/>
    <w:rsid w:val="00620E99"/>
    <w:rsid w:val="0062130B"/>
    <w:rsid w:val="00622064"/>
    <w:rsid w:val="006238D5"/>
    <w:rsid w:val="0062455D"/>
    <w:rsid w:val="00624A18"/>
    <w:rsid w:val="006301A9"/>
    <w:rsid w:val="006315CA"/>
    <w:rsid w:val="00633739"/>
    <w:rsid w:val="00633B2A"/>
    <w:rsid w:val="00634100"/>
    <w:rsid w:val="00635A46"/>
    <w:rsid w:val="00635DFB"/>
    <w:rsid w:val="006403C4"/>
    <w:rsid w:val="00642C56"/>
    <w:rsid w:val="00646B81"/>
    <w:rsid w:val="00646D99"/>
    <w:rsid w:val="00647188"/>
    <w:rsid w:val="00651201"/>
    <w:rsid w:val="00651B33"/>
    <w:rsid w:val="00652D68"/>
    <w:rsid w:val="00653316"/>
    <w:rsid w:val="00655659"/>
    <w:rsid w:val="006560CB"/>
    <w:rsid w:val="00656B16"/>
    <w:rsid w:val="00657F9F"/>
    <w:rsid w:val="00660B15"/>
    <w:rsid w:val="006616E3"/>
    <w:rsid w:val="00662478"/>
    <w:rsid w:val="00663A2C"/>
    <w:rsid w:val="00664FC5"/>
    <w:rsid w:val="00665A2A"/>
    <w:rsid w:val="00665B3D"/>
    <w:rsid w:val="00665DD6"/>
    <w:rsid w:val="0066633D"/>
    <w:rsid w:val="0066671B"/>
    <w:rsid w:val="0067200E"/>
    <w:rsid w:val="00672394"/>
    <w:rsid w:val="00672959"/>
    <w:rsid w:val="00672F2B"/>
    <w:rsid w:val="00675376"/>
    <w:rsid w:val="006753CB"/>
    <w:rsid w:val="006759DC"/>
    <w:rsid w:val="00677FAF"/>
    <w:rsid w:val="006815C9"/>
    <w:rsid w:val="00681B84"/>
    <w:rsid w:val="00681BD3"/>
    <w:rsid w:val="006821AF"/>
    <w:rsid w:val="006855EF"/>
    <w:rsid w:val="00685821"/>
    <w:rsid w:val="006877F9"/>
    <w:rsid w:val="00690966"/>
    <w:rsid w:val="00691700"/>
    <w:rsid w:val="00692F42"/>
    <w:rsid w:val="00692FE6"/>
    <w:rsid w:val="006952BB"/>
    <w:rsid w:val="006A0119"/>
    <w:rsid w:val="006A15EA"/>
    <w:rsid w:val="006A1949"/>
    <w:rsid w:val="006A2045"/>
    <w:rsid w:val="006A245B"/>
    <w:rsid w:val="006A3239"/>
    <w:rsid w:val="006A383A"/>
    <w:rsid w:val="006A3C5F"/>
    <w:rsid w:val="006A3F41"/>
    <w:rsid w:val="006A6020"/>
    <w:rsid w:val="006A78A4"/>
    <w:rsid w:val="006A78D8"/>
    <w:rsid w:val="006A7B99"/>
    <w:rsid w:val="006B0649"/>
    <w:rsid w:val="006B0E9B"/>
    <w:rsid w:val="006B13DA"/>
    <w:rsid w:val="006B1E95"/>
    <w:rsid w:val="006B28A7"/>
    <w:rsid w:val="006B2A3A"/>
    <w:rsid w:val="006B3913"/>
    <w:rsid w:val="006B4CE5"/>
    <w:rsid w:val="006B4F3E"/>
    <w:rsid w:val="006B75B3"/>
    <w:rsid w:val="006C1296"/>
    <w:rsid w:val="006C14F8"/>
    <w:rsid w:val="006C24D9"/>
    <w:rsid w:val="006C2B65"/>
    <w:rsid w:val="006C2C89"/>
    <w:rsid w:val="006C3124"/>
    <w:rsid w:val="006C47F2"/>
    <w:rsid w:val="006C4BE2"/>
    <w:rsid w:val="006C4D6B"/>
    <w:rsid w:val="006C571C"/>
    <w:rsid w:val="006D005F"/>
    <w:rsid w:val="006D0207"/>
    <w:rsid w:val="006D0688"/>
    <w:rsid w:val="006D4330"/>
    <w:rsid w:val="006D64E5"/>
    <w:rsid w:val="006D7321"/>
    <w:rsid w:val="006D76AD"/>
    <w:rsid w:val="006D76D8"/>
    <w:rsid w:val="006E00D9"/>
    <w:rsid w:val="006E03EA"/>
    <w:rsid w:val="006E3AD9"/>
    <w:rsid w:val="006E5A10"/>
    <w:rsid w:val="006E5C66"/>
    <w:rsid w:val="006E5EEC"/>
    <w:rsid w:val="006F1B5D"/>
    <w:rsid w:val="006F34F0"/>
    <w:rsid w:val="006F361B"/>
    <w:rsid w:val="006F38A7"/>
    <w:rsid w:val="006F394E"/>
    <w:rsid w:val="006F554E"/>
    <w:rsid w:val="006F5742"/>
    <w:rsid w:val="00700C93"/>
    <w:rsid w:val="007017AE"/>
    <w:rsid w:val="00702467"/>
    <w:rsid w:val="00703BB6"/>
    <w:rsid w:val="007051D1"/>
    <w:rsid w:val="007057A4"/>
    <w:rsid w:val="00705B62"/>
    <w:rsid w:val="00707CCC"/>
    <w:rsid w:val="00710A83"/>
    <w:rsid w:val="0071107B"/>
    <w:rsid w:val="007122D7"/>
    <w:rsid w:val="007138C2"/>
    <w:rsid w:val="00715522"/>
    <w:rsid w:val="00715E78"/>
    <w:rsid w:val="00715F89"/>
    <w:rsid w:val="00717946"/>
    <w:rsid w:val="00720416"/>
    <w:rsid w:val="00722BD6"/>
    <w:rsid w:val="00723EAE"/>
    <w:rsid w:val="00724324"/>
    <w:rsid w:val="00724D19"/>
    <w:rsid w:val="00726AB7"/>
    <w:rsid w:val="00730CA3"/>
    <w:rsid w:val="007318C5"/>
    <w:rsid w:val="00732CC5"/>
    <w:rsid w:val="00732D29"/>
    <w:rsid w:val="00732DED"/>
    <w:rsid w:val="0073398E"/>
    <w:rsid w:val="0073442B"/>
    <w:rsid w:val="00734C6E"/>
    <w:rsid w:val="00735C23"/>
    <w:rsid w:val="00740325"/>
    <w:rsid w:val="007407CE"/>
    <w:rsid w:val="0074134D"/>
    <w:rsid w:val="00741947"/>
    <w:rsid w:val="00742ECC"/>
    <w:rsid w:val="0074315C"/>
    <w:rsid w:val="00743D30"/>
    <w:rsid w:val="0074511A"/>
    <w:rsid w:val="0074557E"/>
    <w:rsid w:val="007461DD"/>
    <w:rsid w:val="00746E52"/>
    <w:rsid w:val="00750B0F"/>
    <w:rsid w:val="00751962"/>
    <w:rsid w:val="00755B91"/>
    <w:rsid w:val="007566B9"/>
    <w:rsid w:val="00756B7B"/>
    <w:rsid w:val="00756BB6"/>
    <w:rsid w:val="0076130E"/>
    <w:rsid w:val="0076301C"/>
    <w:rsid w:val="007657DF"/>
    <w:rsid w:val="00767BE2"/>
    <w:rsid w:val="00767EED"/>
    <w:rsid w:val="00770D52"/>
    <w:rsid w:val="00771AD3"/>
    <w:rsid w:val="007720B7"/>
    <w:rsid w:val="0077395B"/>
    <w:rsid w:val="00773A20"/>
    <w:rsid w:val="0077595E"/>
    <w:rsid w:val="007760AF"/>
    <w:rsid w:val="00776B16"/>
    <w:rsid w:val="007809C4"/>
    <w:rsid w:val="00781C69"/>
    <w:rsid w:val="0078208A"/>
    <w:rsid w:val="0078291C"/>
    <w:rsid w:val="00783635"/>
    <w:rsid w:val="0078463B"/>
    <w:rsid w:val="00787002"/>
    <w:rsid w:val="007877E7"/>
    <w:rsid w:val="0079396D"/>
    <w:rsid w:val="00796974"/>
    <w:rsid w:val="007975D0"/>
    <w:rsid w:val="00797BD4"/>
    <w:rsid w:val="00797D03"/>
    <w:rsid w:val="00797FF2"/>
    <w:rsid w:val="007A0B74"/>
    <w:rsid w:val="007A0DD1"/>
    <w:rsid w:val="007A4281"/>
    <w:rsid w:val="007A5084"/>
    <w:rsid w:val="007A5228"/>
    <w:rsid w:val="007A64C5"/>
    <w:rsid w:val="007A7841"/>
    <w:rsid w:val="007B0A87"/>
    <w:rsid w:val="007B17E6"/>
    <w:rsid w:val="007B23CA"/>
    <w:rsid w:val="007B27CC"/>
    <w:rsid w:val="007B2BE3"/>
    <w:rsid w:val="007B46A7"/>
    <w:rsid w:val="007B4CA1"/>
    <w:rsid w:val="007B52F1"/>
    <w:rsid w:val="007B61F9"/>
    <w:rsid w:val="007B6A0E"/>
    <w:rsid w:val="007C24C6"/>
    <w:rsid w:val="007C5A36"/>
    <w:rsid w:val="007D0003"/>
    <w:rsid w:val="007D0840"/>
    <w:rsid w:val="007D3759"/>
    <w:rsid w:val="007D4330"/>
    <w:rsid w:val="007D440D"/>
    <w:rsid w:val="007E0F3E"/>
    <w:rsid w:val="007E0FA9"/>
    <w:rsid w:val="007E1197"/>
    <w:rsid w:val="007E2D12"/>
    <w:rsid w:val="007E31AC"/>
    <w:rsid w:val="007E3793"/>
    <w:rsid w:val="007E436A"/>
    <w:rsid w:val="007E4A47"/>
    <w:rsid w:val="007E66D5"/>
    <w:rsid w:val="007E6F97"/>
    <w:rsid w:val="007E71EE"/>
    <w:rsid w:val="007E7BBA"/>
    <w:rsid w:val="007E7C24"/>
    <w:rsid w:val="007F0181"/>
    <w:rsid w:val="007F1183"/>
    <w:rsid w:val="007F1E2B"/>
    <w:rsid w:val="007F2874"/>
    <w:rsid w:val="007F2FD2"/>
    <w:rsid w:val="007F33A8"/>
    <w:rsid w:val="007F3D10"/>
    <w:rsid w:val="007F3E32"/>
    <w:rsid w:val="007F4865"/>
    <w:rsid w:val="007F497E"/>
    <w:rsid w:val="007F78B4"/>
    <w:rsid w:val="00800C3D"/>
    <w:rsid w:val="008011D5"/>
    <w:rsid w:val="00801FCF"/>
    <w:rsid w:val="008029A1"/>
    <w:rsid w:val="0080312B"/>
    <w:rsid w:val="008033F5"/>
    <w:rsid w:val="008042D1"/>
    <w:rsid w:val="0080465B"/>
    <w:rsid w:val="00810DA3"/>
    <w:rsid w:val="00811426"/>
    <w:rsid w:val="00815F77"/>
    <w:rsid w:val="00817441"/>
    <w:rsid w:val="0082071F"/>
    <w:rsid w:val="008221FD"/>
    <w:rsid w:val="008222E7"/>
    <w:rsid w:val="00825875"/>
    <w:rsid w:val="00825937"/>
    <w:rsid w:val="00825CD0"/>
    <w:rsid w:val="00826A1E"/>
    <w:rsid w:val="00827CE2"/>
    <w:rsid w:val="00830C1B"/>
    <w:rsid w:val="00831546"/>
    <w:rsid w:val="0083182D"/>
    <w:rsid w:val="00832F19"/>
    <w:rsid w:val="00835397"/>
    <w:rsid w:val="00835601"/>
    <w:rsid w:val="008358CE"/>
    <w:rsid w:val="00836BE0"/>
    <w:rsid w:val="00840DF8"/>
    <w:rsid w:val="008411CC"/>
    <w:rsid w:val="00841809"/>
    <w:rsid w:val="0084379D"/>
    <w:rsid w:val="00845343"/>
    <w:rsid w:val="00845616"/>
    <w:rsid w:val="00850359"/>
    <w:rsid w:val="00850448"/>
    <w:rsid w:val="0085189C"/>
    <w:rsid w:val="0085387E"/>
    <w:rsid w:val="008566F5"/>
    <w:rsid w:val="00856792"/>
    <w:rsid w:val="00856B2B"/>
    <w:rsid w:val="00860406"/>
    <w:rsid w:val="0086098C"/>
    <w:rsid w:val="0086164B"/>
    <w:rsid w:val="0086278E"/>
    <w:rsid w:val="00863795"/>
    <w:rsid w:val="008644C0"/>
    <w:rsid w:val="00865A31"/>
    <w:rsid w:val="00867D80"/>
    <w:rsid w:val="00870830"/>
    <w:rsid w:val="0087085D"/>
    <w:rsid w:val="0087118B"/>
    <w:rsid w:val="00874692"/>
    <w:rsid w:val="00874B11"/>
    <w:rsid w:val="00876805"/>
    <w:rsid w:val="00876EA5"/>
    <w:rsid w:val="00876F72"/>
    <w:rsid w:val="00877AD2"/>
    <w:rsid w:val="00880751"/>
    <w:rsid w:val="008809F5"/>
    <w:rsid w:val="00882EBB"/>
    <w:rsid w:val="00882EC4"/>
    <w:rsid w:val="00884AF2"/>
    <w:rsid w:val="008859F0"/>
    <w:rsid w:val="00886428"/>
    <w:rsid w:val="00891B35"/>
    <w:rsid w:val="0089219F"/>
    <w:rsid w:val="00892836"/>
    <w:rsid w:val="00892C33"/>
    <w:rsid w:val="0089582E"/>
    <w:rsid w:val="008A0953"/>
    <w:rsid w:val="008A2569"/>
    <w:rsid w:val="008A453C"/>
    <w:rsid w:val="008A7044"/>
    <w:rsid w:val="008A755F"/>
    <w:rsid w:val="008B0794"/>
    <w:rsid w:val="008B15C4"/>
    <w:rsid w:val="008B20A7"/>
    <w:rsid w:val="008B244B"/>
    <w:rsid w:val="008B32AE"/>
    <w:rsid w:val="008B4512"/>
    <w:rsid w:val="008B5408"/>
    <w:rsid w:val="008B6E1F"/>
    <w:rsid w:val="008B756A"/>
    <w:rsid w:val="008C1903"/>
    <w:rsid w:val="008C192C"/>
    <w:rsid w:val="008C1C17"/>
    <w:rsid w:val="008C2782"/>
    <w:rsid w:val="008C2F54"/>
    <w:rsid w:val="008C2F9E"/>
    <w:rsid w:val="008C3164"/>
    <w:rsid w:val="008C3CF0"/>
    <w:rsid w:val="008C5CE9"/>
    <w:rsid w:val="008C7735"/>
    <w:rsid w:val="008C774F"/>
    <w:rsid w:val="008C7768"/>
    <w:rsid w:val="008D068E"/>
    <w:rsid w:val="008D1A6E"/>
    <w:rsid w:val="008D27BB"/>
    <w:rsid w:val="008D2C6F"/>
    <w:rsid w:val="008D375B"/>
    <w:rsid w:val="008D4E7E"/>
    <w:rsid w:val="008D4ED1"/>
    <w:rsid w:val="008D5700"/>
    <w:rsid w:val="008D67CA"/>
    <w:rsid w:val="008E0839"/>
    <w:rsid w:val="008E1393"/>
    <w:rsid w:val="008E1AF7"/>
    <w:rsid w:val="008E2501"/>
    <w:rsid w:val="008E2560"/>
    <w:rsid w:val="008E2689"/>
    <w:rsid w:val="008E2780"/>
    <w:rsid w:val="008E3641"/>
    <w:rsid w:val="008E3980"/>
    <w:rsid w:val="008E49F6"/>
    <w:rsid w:val="008E4EB3"/>
    <w:rsid w:val="008E5079"/>
    <w:rsid w:val="008E5085"/>
    <w:rsid w:val="008E57BB"/>
    <w:rsid w:val="008E59D8"/>
    <w:rsid w:val="008E5A4D"/>
    <w:rsid w:val="008F06C7"/>
    <w:rsid w:val="008F18B3"/>
    <w:rsid w:val="008F1EC3"/>
    <w:rsid w:val="008F2D95"/>
    <w:rsid w:val="008F305C"/>
    <w:rsid w:val="008F3D23"/>
    <w:rsid w:val="008F3DC4"/>
    <w:rsid w:val="008F3DF1"/>
    <w:rsid w:val="008F4879"/>
    <w:rsid w:val="008F65CE"/>
    <w:rsid w:val="008F6F60"/>
    <w:rsid w:val="008F7E09"/>
    <w:rsid w:val="009001E8"/>
    <w:rsid w:val="009005EE"/>
    <w:rsid w:val="0090127F"/>
    <w:rsid w:val="00902414"/>
    <w:rsid w:val="00904672"/>
    <w:rsid w:val="00906079"/>
    <w:rsid w:val="00906CA0"/>
    <w:rsid w:val="00906F22"/>
    <w:rsid w:val="00912472"/>
    <w:rsid w:val="009129BD"/>
    <w:rsid w:val="00913B1A"/>
    <w:rsid w:val="009145AB"/>
    <w:rsid w:val="00915381"/>
    <w:rsid w:val="00915AAC"/>
    <w:rsid w:val="00916AF8"/>
    <w:rsid w:val="0091795A"/>
    <w:rsid w:val="00917E74"/>
    <w:rsid w:val="00920DC4"/>
    <w:rsid w:val="00921780"/>
    <w:rsid w:val="00922C02"/>
    <w:rsid w:val="00923CEE"/>
    <w:rsid w:val="00925863"/>
    <w:rsid w:val="00925C3F"/>
    <w:rsid w:val="009277CF"/>
    <w:rsid w:val="00927A69"/>
    <w:rsid w:val="00927B32"/>
    <w:rsid w:val="0093054C"/>
    <w:rsid w:val="009321B2"/>
    <w:rsid w:val="009326EF"/>
    <w:rsid w:val="00932898"/>
    <w:rsid w:val="00932E28"/>
    <w:rsid w:val="00933B63"/>
    <w:rsid w:val="0093561E"/>
    <w:rsid w:val="009356A6"/>
    <w:rsid w:val="009359FA"/>
    <w:rsid w:val="00935B0F"/>
    <w:rsid w:val="00935F82"/>
    <w:rsid w:val="00937DB7"/>
    <w:rsid w:val="0094146A"/>
    <w:rsid w:val="0094435C"/>
    <w:rsid w:val="009455D6"/>
    <w:rsid w:val="0094660F"/>
    <w:rsid w:val="00950388"/>
    <w:rsid w:val="0095067D"/>
    <w:rsid w:val="00950F7C"/>
    <w:rsid w:val="00951617"/>
    <w:rsid w:val="00952D90"/>
    <w:rsid w:val="009530B9"/>
    <w:rsid w:val="00953207"/>
    <w:rsid w:val="009539BC"/>
    <w:rsid w:val="00953D55"/>
    <w:rsid w:val="00954290"/>
    <w:rsid w:val="00954A87"/>
    <w:rsid w:val="00957876"/>
    <w:rsid w:val="0096018A"/>
    <w:rsid w:val="0096066B"/>
    <w:rsid w:val="00961441"/>
    <w:rsid w:val="00962627"/>
    <w:rsid w:val="00962835"/>
    <w:rsid w:val="00962BEC"/>
    <w:rsid w:val="00966CD9"/>
    <w:rsid w:val="00967091"/>
    <w:rsid w:val="00967905"/>
    <w:rsid w:val="00970190"/>
    <w:rsid w:val="00970680"/>
    <w:rsid w:val="00970D8B"/>
    <w:rsid w:val="0097142F"/>
    <w:rsid w:val="0097197C"/>
    <w:rsid w:val="009720E2"/>
    <w:rsid w:val="0097353B"/>
    <w:rsid w:val="009738E4"/>
    <w:rsid w:val="00974D3B"/>
    <w:rsid w:val="00975AB2"/>
    <w:rsid w:val="00976502"/>
    <w:rsid w:val="00977245"/>
    <w:rsid w:val="00980AE8"/>
    <w:rsid w:val="00980BF7"/>
    <w:rsid w:val="00982897"/>
    <w:rsid w:val="00983379"/>
    <w:rsid w:val="009851E6"/>
    <w:rsid w:val="00985AF8"/>
    <w:rsid w:val="00985C36"/>
    <w:rsid w:val="00987443"/>
    <w:rsid w:val="00990DF5"/>
    <w:rsid w:val="0099109B"/>
    <w:rsid w:val="0099264C"/>
    <w:rsid w:val="009929C1"/>
    <w:rsid w:val="00994157"/>
    <w:rsid w:val="009945AD"/>
    <w:rsid w:val="00995838"/>
    <w:rsid w:val="009A3358"/>
    <w:rsid w:val="009A3664"/>
    <w:rsid w:val="009A4221"/>
    <w:rsid w:val="009A5205"/>
    <w:rsid w:val="009A5C80"/>
    <w:rsid w:val="009B01BA"/>
    <w:rsid w:val="009B0924"/>
    <w:rsid w:val="009B16BA"/>
    <w:rsid w:val="009B2145"/>
    <w:rsid w:val="009B2CB3"/>
    <w:rsid w:val="009B3077"/>
    <w:rsid w:val="009B307B"/>
    <w:rsid w:val="009B35BF"/>
    <w:rsid w:val="009B47CC"/>
    <w:rsid w:val="009B65D8"/>
    <w:rsid w:val="009C033E"/>
    <w:rsid w:val="009C17ED"/>
    <w:rsid w:val="009C1D4F"/>
    <w:rsid w:val="009C2132"/>
    <w:rsid w:val="009C497D"/>
    <w:rsid w:val="009C51C4"/>
    <w:rsid w:val="009C5C15"/>
    <w:rsid w:val="009C79D1"/>
    <w:rsid w:val="009C7BBB"/>
    <w:rsid w:val="009D13F6"/>
    <w:rsid w:val="009D24B2"/>
    <w:rsid w:val="009D37C2"/>
    <w:rsid w:val="009D387A"/>
    <w:rsid w:val="009D5D92"/>
    <w:rsid w:val="009D6894"/>
    <w:rsid w:val="009E080C"/>
    <w:rsid w:val="009E12D0"/>
    <w:rsid w:val="009E2351"/>
    <w:rsid w:val="009E2523"/>
    <w:rsid w:val="009E272F"/>
    <w:rsid w:val="009E27EA"/>
    <w:rsid w:val="009E2D9A"/>
    <w:rsid w:val="009E397D"/>
    <w:rsid w:val="009E3D05"/>
    <w:rsid w:val="009E44D9"/>
    <w:rsid w:val="009E47DA"/>
    <w:rsid w:val="009E4AAC"/>
    <w:rsid w:val="009E5EA1"/>
    <w:rsid w:val="009E73E8"/>
    <w:rsid w:val="009E7A32"/>
    <w:rsid w:val="009E7A36"/>
    <w:rsid w:val="009F14B2"/>
    <w:rsid w:val="009F33C9"/>
    <w:rsid w:val="009F450E"/>
    <w:rsid w:val="009F5B79"/>
    <w:rsid w:val="009F7F13"/>
    <w:rsid w:val="009F7F8B"/>
    <w:rsid w:val="00A004F5"/>
    <w:rsid w:val="00A01462"/>
    <w:rsid w:val="00A01BBA"/>
    <w:rsid w:val="00A02CFC"/>
    <w:rsid w:val="00A032FB"/>
    <w:rsid w:val="00A04FB2"/>
    <w:rsid w:val="00A05B2D"/>
    <w:rsid w:val="00A05D19"/>
    <w:rsid w:val="00A05F3E"/>
    <w:rsid w:val="00A06251"/>
    <w:rsid w:val="00A07243"/>
    <w:rsid w:val="00A07821"/>
    <w:rsid w:val="00A100E1"/>
    <w:rsid w:val="00A10A24"/>
    <w:rsid w:val="00A10EE5"/>
    <w:rsid w:val="00A113EA"/>
    <w:rsid w:val="00A1182B"/>
    <w:rsid w:val="00A13DB8"/>
    <w:rsid w:val="00A14615"/>
    <w:rsid w:val="00A148E0"/>
    <w:rsid w:val="00A17502"/>
    <w:rsid w:val="00A17BF5"/>
    <w:rsid w:val="00A20FE1"/>
    <w:rsid w:val="00A21751"/>
    <w:rsid w:val="00A22559"/>
    <w:rsid w:val="00A234EF"/>
    <w:rsid w:val="00A23F1F"/>
    <w:rsid w:val="00A25E13"/>
    <w:rsid w:val="00A25E37"/>
    <w:rsid w:val="00A25F0C"/>
    <w:rsid w:val="00A30199"/>
    <w:rsid w:val="00A304E1"/>
    <w:rsid w:val="00A30617"/>
    <w:rsid w:val="00A308A6"/>
    <w:rsid w:val="00A31698"/>
    <w:rsid w:val="00A31E8B"/>
    <w:rsid w:val="00A3340C"/>
    <w:rsid w:val="00A34949"/>
    <w:rsid w:val="00A35F0B"/>
    <w:rsid w:val="00A3600D"/>
    <w:rsid w:val="00A365D1"/>
    <w:rsid w:val="00A37344"/>
    <w:rsid w:val="00A37D58"/>
    <w:rsid w:val="00A40071"/>
    <w:rsid w:val="00A400AD"/>
    <w:rsid w:val="00A41644"/>
    <w:rsid w:val="00A43250"/>
    <w:rsid w:val="00A43427"/>
    <w:rsid w:val="00A457A4"/>
    <w:rsid w:val="00A45BCD"/>
    <w:rsid w:val="00A4738A"/>
    <w:rsid w:val="00A50005"/>
    <w:rsid w:val="00A50958"/>
    <w:rsid w:val="00A51B4C"/>
    <w:rsid w:val="00A53493"/>
    <w:rsid w:val="00A55961"/>
    <w:rsid w:val="00A56004"/>
    <w:rsid w:val="00A563B3"/>
    <w:rsid w:val="00A56AE8"/>
    <w:rsid w:val="00A56DF1"/>
    <w:rsid w:val="00A6050E"/>
    <w:rsid w:val="00A60D5F"/>
    <w:rsid w:val="00A61182"/>
    <w:rsid w:val="00A64A9F"/>
    <w:rsid w:val="00A65E53"/>
    <w:rsid w:val="00A65F0D"/>
    <w:rsid w:val="00A65F24"/>
    <w:rsid w:val="00A65F2F"/>
    <w:rsid w:val="00A6614A"/>
    <w:rsid w:val="00A72A43"/>
    <w:rsid w:val="00A74916"/>
    <w:rsid w:val="00A75E39"/>
    <w:rsid w:val="00A772DC"/>
    <w:rsid w:val="00A80096"/>
    <w:rsid w:val="00A8175E"/>
    <w:rsid w:val="00A82842"/>
    <w:rsid w:val="00A8352E"/>
    <w:rsid w:val="00A83B58"/>
    <w:rsid w:val="00A84CCB"/>
    <w:rsid w:val="00A85D81"/>
    <w:rsid w:val="00A86747"/>
    <w:rsid w:val="00A900B5"/>
    <w:rsid w:val="00A931FD"/>
    <w:rsid w:val="00A947C2"/>
    <w:rsid w:val="00A95AA7"/>
    <w:rsid w:val="00A96F13"/>
    <w:rsid w:val="00AA0760"/>
    <w:rsid w:val="00AA0D1B"/>
    <w:rsid w:val="00AA1A5F"/>
    <w:rsid w:val="00AA372E"/>
    <w:rsid w:val="00AA3E34"/>
    <w:rsid w:val="00AA4C65"/>
    <w:rsid w:val="00AA6B1D"/>
    <w:rsid w:val="00AA75DC"/>
    <w:rsid w:val="00AA7874"/>
    <w:rsid w:val="00AB15AD"/>
    <w:rsid w:val="00AB229D"/>
    <w:rsid w:val="00AB26DE"/>
    <w:rsid w:val="00AB2A50"/>
    <w:rsid w:val="00AB3024"/>
    <w:rsid w:val="00AB378F"/>
    <w:rsid w:val="00AB4BA9"/>
    <w:rsid w:val="00AB64F1"/>
    <w:rsid w:val="00AB681A"/>
    <w:rsid w:val="00AB684D"/>
    <w:rsid w:val="00AB781E"/>
    <w:rsid w:val="00AB7F11"/>
    <w:rsid w:val="00AC0301"/>
    <w:rsid w:val="00AC0822"/>
    <w:rsid w:val="00AC20F3"/>
    <w:rsid w:val="00AC2747"/>
    <w:rsid w:val="00AC2940"/>
    <w:rsid w:val="00AC2C41"/>
    <w:rsid w:val="00AC3723"/>
    <w:rsid w:val="00AC6937"/>
    <w:rsid w:val="00AC7801"/>
    <w:rsid w:val="00AC795D"/>
    <w:rsid w:val="00AD0BAD"/>
    <w:rsid w:val="00AD19CB"/>
    <w:rsid w:val="00AD1A2D"/>
    <w:rsid w:val="00AD1E64"/>
    <w:rsid w:val="00AD1E7A"/>
    <w:rsid w:val="00AD2464"/>
    <w:rsid w:val="00AD5B95"/>
    <w:rsid w:val="00AD7555"/>
    <w:rsid w:val="00AE0DE2"/>
    <w:rsid w:val="00AE1335"/>
    <w:rsid w:val="00AE1A58"/>
    <w:rsid w:val="00AE1E22"/>
    <w:rsid w:val="00AE2DE2"/>
    <w:rsid w:val="00AE52EA"/>
    <w:rsid w:val="00AE686A"/>
    <w:rsid w:val="00AE7FA4"/>
    <w:rsid w:val="00AF1112"/>
    <w:rsid w:val="00AF3AA3"/>
    <w:rsid w:val="00AF452F"/>
    <w:rsid w:val="00AF4A70"/>
    <w:rsid w:val="00AF5263"/>
    <w:rsid w:val="00AF6BB0"/>
    <w:rsid w:val="00AF71E5"/>
    <w:rsid w:val="00AF7F6A"/>
    <w:rsid w:val="00B000BA"/>
    <w:rsid w:val="00B00B18"/>
    <w:rsid w:val="00B01C7E"/>
    <w:rsid w:val="00B01E06"/>
    <w:rsid w:val="00B0230A"/>
    <w:rsid w:val="00B03B97"/>
    <w:rsid w:val="00B055BF"/>
    <w:rsid w:val="00B0596D"/>
    <w:rsid w:val="00B0599D"/>
    <w:rsid w:val="00B10992"/>
    <w:rsid w:val="00B10AD8"/>
    <w:rsid w:val="00B12C47"/>
    <w:rsid w:val="00B133DE"/>
    <w:rsid w:val="00B140C1"/>
    <w:rsid w:val="00B14353"/>
    <w:rsid w:val="00B205A4"/>
    <w:rsid w:val="00B20C46"/>
    <w:rsid w:val="00B2130B"/>
    <w:rsid w:val="00B22189"/>
    <w:rsid w:val="00B22520"/>
    <w:rsid w:val="00B232D5"/>
    <w:rsid w:val="00B259FE"/>
    <w:rsid w:val="00B25A2A"/>
    <w:rsid w:val="00B26750"/>
    <w:rsid w:val="00B26A78"/>
    <w:rsid w:val="00B270F1"/>
    <w:rsid w:val="00B2721A"/>
    <w:rsid w:val="00B31897"/>
    <w:rsid w:val="00B33690"/>
    <w:rsid w:val="00B33DB2"/>
    <w:rsid w:val="00B36579"/>
    <w:rsid w:val="00B4094C"/>
    <w:rsid w:val="00B415C5"/>
    <w:rsid w:val="00B417E2"/>
    <w:rsid w:val="00B41943"/>
    <w:rsid w:val="00B426E1"/>
    <w:rsid w:val="00B450DA"/>
    <w:rsid w:val="00B51682"/>
    <w:rsid w:val="00B51941"/>
    <w:rsid w:val="00B527C4"/>
    <w:rsid w:val="00B52B75"/>
    <w:rsid w:val="00B53203"/>
    <w:rsid w:val="00B5543B"/>
    <w:rsid w:val="00B56868"/>
    <w:rsid w:val="00B56DD6"/>
    <w:rsid w:val="00B578FE"/>
    <w:rsid w:val="00B6219C"/>
    <w:rsid w:val="00B62C8F"/>
    <w:rsid w:val="00B630EA"/>
    <w:rsid w:val="00B64023"/>
    <w:rsid w:val="00B66755"/>
    <w:rsid w:val="00B67192"/>
    <w:rsid w:val="00B709D3"/>
    <w:rsid w:val="00B71256"/>
    <w:rsid w:val="00B71699"/>
    <w:rsid w:val="00B718E9"/>
    <w:rsid w:val="00B724A1"/>
    <w:rsid w:val="00B73150"/>
    <w:rsid w:val="00B73313"/>
    <w:rsid w:val="00B74397"/>
    <w:rsid w:val="00B74443"/>
    <w:rsid w:val="00B74502"/>
    <w:rsid w:val="00B7456D"/>
    <w:rsid w:val="00B748E2"/>
    <w:rsid w:val="00B75DA3"/>
    <w:rsid w:val="00B75DFD"/>
    <w:rsid w:val="00B76A10"/>
    <w:rsid w:val="00B77378"/>
    <w:rsid w:val="00B77572"/>
    <w:rsid w:val="00B77889"/>
    <w:rsid w:val="00B82BF7"/>
    <w:rsid w:val="00B82C7C"/>
    <w:rsid w:val="00B837A9"/>
    <w:rsid w:val="00B855B2"/>
    <w:rsid w:val="00B86484"/>
    <w:rsid w:val="00B86D2C"/>
    <w:rsid w:val="00B86D8A"/>
    <w:rsid w:val="00B8737E"/>
    <w:rsid w:val="00B87515"/>
    <w:rsid w:val="00B917B3"/>
    <w:rsid w:val="00B918CF"/>
    <w:rsid w:val="00B926B7"/>
    <w:rsid w:val="00B927AF"/>
    <w:rsid w:val="00B92C62"/>
    <w:rsid w:val="00B92FB5"/>
    <w:rsid w:val="00B94111"/>
    <w:rsid w:val="00B949F7"/>
    <w:rsid w:val="00B94AAB"/>
    <w:rsid w:val="00B95031"/>
    <w:rsid w:val="00B95B69"/>
    <w:rsid w:val="00B97EAD"/>
    <w:rsid w:val="00BA019D"/>
    <w:rsid w:val="00BA2676"/>
    <w:rsid w:val="00BA2BB6"/>
    <w:rsid w:val="00BA2BBC"/>
    <w:rsid w:val="00BA3495"/>
    <w:rsid w:val="00BA4E3E"/>
    <w:rsid w:val="00BA563F"/>
    <w:rsid w:val="00BA5C0E"/>
    <w:rsid w:val="00BA60AE"/>
    <w:rsid w:val="00BA6136"/>
    <w:rsid w:val="00BA61F1"/>
    <w:rsid w:val="00BA7EEF"/>
    <w:rsid w:val="00BB1568"/>
    <w:rsid w:val="00BB4C7A"/>
    <w:rsid w:val="00BB64BB"/>
    <w:rsid w:val="00BC13F8"/>
    <w:rsid w:val="00BC3390"/>
    <w:rsid w:val="00BC3CDF"/>
    <w:rsid w:val="00BC4F2F"/>
    <w:rsid w:val="00BC6D21"/>
    <w:rsid w:val="00BD28E2"/>
    <w:rsid w:val="00BD4CC3"/>
    <w:rsid w:val="00BD54BE"/>
    <w:rsid w:val="00BD57A7"/>
    <w:rsid w:val="00BD70D9"/>
    <w:rsid w:val="00BD746C"/>
    <w:rsid w:val="00BD7EAE"/>
    <w:rsid w:val="00BE07B1"/>
    <w:rsid w:val="00BE1C1B"/>
    <w:rsid w:val="00BE2BDB"/>
    <w:rsid w:val="00BE2C57"/>
    <w:rsid w:val="00BE4109"/>
    <w:rsid w:val="00BE515E"/>
    <w:rsid w:val="00BE6302"/>
    <w:rsid w:val="00BE6FB0"/>
    <w:rsid w:val="00BE7343"/>
    <w:rsid w:val="00BE75C6"/>
    <w:rsid w:val="00BF0CDD"/>
    <w:rsid w:val="00BF1861"/>
    <w:rsid w:val="00BF1921"/>
    <w:rsid w:val="00BF1CF8"/>
    <w:rsid w:val="00BF574C"/>
    <w:rsid w:val="00BF735B"/>
    <w:rsid w:val="00BF796A"/>
    <w:rsid w:val="00C00D67"/>
    <w:rsid w:val="00C04CD1"/>
    <w:rsid w:val="00C0585B"/>
    <w:rsid w:val="00C069B6"/>
    <w:rsid w:val="00C06BF7"/>
    <w:rsid w:val="00C07FD6"/>
    <w:rsid w:val="00C11C4C"/>
    <w:rsid w:val="00C120B5"/>
    <w:rsid w:val="00C12B5D"/>
    <w:rsid w:val="00C12B7C"/>
    <w:rsid w:val="00C12CCB"/>
    <w:rsid w:val="00C15375"/>
    <w:rsid w:val="00C16CB6"/>
    <w:rsid w:val="00C21310"/>
    <w:rsid w:val="00C220C7"/>
    <w:rsid w:val="00C22962"/>
    <w:rsid w:val="00C235F0"/>
    <w:rsid w:val="00C23CD2"/>
    <w:rsid w:val="00C24089"/>
    <w:rsid w:val="00C31601"/>
    <w:rsid w:val="00C31D7C"/>
    <w:rsid w:val="00C31FEC"/>
    <w:rsid w:val="00C32BD5"/>
    <w:rsid w:val="00C35FDE"/>
    <w:rsid w:val="00C36CED"/>
    <w:rsid w:val="00C404DC"/>
    <w:rsid w:val="00C40A83"/>
    <w:rsid w:val="00C42D18"/>
    <w:rsid w:val="00C4717A"/>
    <w:rsid w:val="00C47855"/>
    <w:rsid w:val="00C51C4E"/>
    <w:rsid w:val="00C52C1D"/>
    <w:rsid w:val="00C52CA4"/>
    <w:rsid w:val="00C53194"/>
    <w:rsid w:val="00C53C40"/>
    <w:rsid w:val="00C54085"/>
    <w:rsid w:val="00C54270"/>
    <w:rsid w:val="00C54DCE"/>
    <w:rsid w:val="00C56CCD"/>
    <w:rsid w:val="00C60A67"/>
    <w:rsid w:val="00C61D47"/>
    <w:rsid w:val="00C6237D"/>
    <w:rsid w:val="00C625B9"/>
    <w:rsid w:val="00C65767"/>
    <w:rsid w:val="00C65A51"/>
    <w:rsid w:val="00C6695A"/>
    <w:rsid w:val="00C71164"/>
    <w:rsid w:val="00C71FE3"/>
    <w:rsid w:val="00C751B9"/>
    <w:rsid w:val="00C75A5F"/>
    <w:rsid w:val="00C77DDF"/>
    <w:rsid w:val="00C80906"/>
    <w:rsid w:val="00C80B32"/>
    <w:rsid w:val="00C82C71"/>
    <w:rsid w:val="00C84D84"/>
    <w:rsid w:val="00C85227"/>
    <w:rsid w:val="00C86745"/>
    <w:rsid w:val="00C87393"/>
    <w:rsid w:val="00C944F0"/>
    <w:rsid w:val="00C95B73"/>
    <w:rsid w:val="00C962AB"/>
    <w:rsid w:val="00C96C71"/>
    <w:rsid w:val="00C97020"/>
    <w:rsid w:val="00CA0FB6"/>
    <w:rsid w:val="00CA2AA4"/>
    <w:rsid w:val="00CA2C6C"/>
    <w:rsid w:val="00CA337B"/>
    <w:rsid w:val="00CA602D"/>
    <w:rsid w:val="00CA6BDB"/>
    <w:rsid w:val="00CA6D36"/>
    <w:rsid w:val="00CB2583"/>
    <w:rsid w:val="00CB3170"/>
    <w:rsid w:val="00CB4EB1"/>
    <w:rsid w:val="00CB4FCC"/>
    <w:rsid w:val="00CC0C77"/>
    <w:rsid w:val="00CC1A32"/>
    <w:rsid w:val="00CC201C"/>
    <w:rsid w:val="00CC2871"/>
    <w:rsid w:val="00CC34E8"/>
    <w:rsid w:val="00CC3E3C"/>
    <w:rsid w:val="00CC7878"/>
    <w:rsid w:val="00CD12B4"/>
    <w:rsid w:val="00CD340B"/>
    <w:rsid w:val="00CD4184"/>
    <w:rsid w:val="00CD5DD3"/>
    <w:rsid w:val="00CD7BD4"/>
    <w:rsid w:val="00CE2EA3"/>
    <w:rsid w:val="00CE32B9"/>
    <w:rsid w:val="00CE36B8"/>
    <w:rsid w:val="00CE6968"/>
    <w:rsid w:val="00CF157F"/>
    <w:rsid w:val="00CF15FF"/>
    <w:rsid w:val="00CF3252"/>
    <w:rsid w:val="00CF3848"/>
    <w:rsid w:val="00CF450E"/>
    <w:rsid w:val="00CF4918"/>
    <w:rsid w:val="00CF4DA1"/>
    <w:rsid w:val="00CF633B"/>
    <w:rsid w:val="00CF65D1"/>
    <w:rsid w:val="00CF6BE5"/>
    <w:rsid w:val="00CF6D2F"/>
    <w:rsid w:val="00CF6F63"/>
    <w:rsid w:val="00D01B9E"/>
    <w:rsid w:val="00D0553F"/>
    <w:rsid w:val="00D1156C"/>
    <w:rsid w:val="00D133E2"/>
    <w:rsid w:val="00D159A6"/>
    <w:rsid w:val="00D1714F"/>
    <w:rsid w:val="00D17D5E"/>
    <w:rsid w:val="00D17E8C"/>
    <w:rsid w:val="00D211C6"/>
    <w:rsid w:val="00D23203"/>
    <w:rsid w:val="00D25DCE"/>
    <w:rsid w:val="00D265BE"/>
    <w:rsid w:val="00D3027B"/>
    <w:rsid w:val="00D308AC"/>
    <w:rsid w:val="00D31FC7"/>
    <w:rsid w:val="00D322B2"/>
    <w:rsid w:val="00D332C3"/>
    <w:rsid w:val="00D34B27"/>
    <w:rsid w:val="00D3530E"/>
    <w:rsid w:val="00D37BD8"/>
    <w:rsid w:val="00D37C16"/>
    <w:rsid w:val="00D4010E"/>
    <w:rsid w:val="00D401E6"/>
    <w:rsid w:val="00D41560"/>
    <w:rsid w:val="00D42DA1"/>
    <w:rsid w:val="00D43121"/>
    <w:rsid w:val="00D432D8"/>
    <w:rsid w:val="00D43336"/>
    <w:rsid w:val="00D44576"/>
    <w:rsid w:val="00D4529F"/>
    <w:rsid w:val="00D46A4E"/>
    <w:rsid w:val="00D47597"/>
    <w:rsid w:val="00D5256C"/>
    <w:rsid w:val="00D52B2E"/>
    <w:rsid w:val="00D5365B"/>
    <w:rsid w:val="00D5408A"/>
    <w:rsid w:val="00D558CF"/>
    <w:rsid w:val="00D570C9"/>
    <w:rsid w:val="00D5714F"/>
    <w:rsid w:val="00D572BB"/>
    <w:rsid w:val="00D623B4"/>
    <w:rsid w:val="00D631BD"/>
    <w:rsid w:val="00D63B6E"/>
    <w:rsid w:val="00D65DC9"/>
    <w:rsid w:val="00D662D5"/>
    <w:rsid w:val="00D66E0C"/>
    <w:rsid w:val="00D67591"/>
    <w:rsid w:val="00D67775"/>
    <w:rsid w:val="00D67C55"/>
    <w:rsid w:val="00D744FF"/>
    <w:rsid w:val="00D7471B"/>
    <w:rsid w:val="00D7618A"/>
    <w:rsid w:val="00D76BD4"/>
    <w:rsid w:val="00D8257D"/>
    <w:rsid w:val="00D83EEF"/>
    <w:rsid w:val="00D85AA5"/>
    <w:rsid w:val="00D871EE"/>
    <w:rsid w:val="00D87461"/>
    <w:rsid w:val="00D878CF"/>
    <w:rsid w:val="00D87EF0"/>
    <w:rsid w:val="00D90C08"/>
    <w:rsid w:val="00D9101F"/>
    <w:rsid w:val="00D917F9"/>
    <w:rsid w:val="00D9195E"/>
    <w:rsid w:val="00D91E4A"/>
    <w:rsid w:val="00D92D68"/>
    <w:rsid w:val="00D930F3"/>
    <w:rsid w:val="00D93EC6"/>
    <w:rsid w:val="00D93F17"/>
    <w:rsid w:val="00D948E9"/>
    <w:rsid w:val="00D94998"/>
    <w:rsid w:val="00D9565B"/>
    <w:rsid w:val="00D9572B"/>
    <w:rsid w:val="00D95D3F"/>
    <w:rsid w:val="00D962A4"/>
    <w:rsid w:val="00D97A42"/>
    <w:rsid w:val="00DA17AC"/>
    <w:rsid w:val="00DA377F"/>
    <w:rsid w:val="00DA65A0"/>
    <w:rsid w:val="00DB05DA"/>
    <w:rsid w:val="00DB0B0C"/>
    <w:rsid w:val="00DB1E3F"/>
    <w:rsid w:val="00DB4D5D"/>
    <w:rsid w:val="00DB58D8"/>
    <w:rsid w:val="00DB7831"/>
    <w:rsid w:val="00DC03B7"/>
    <w:rsid w:val="00DC0608"/>
    <w:rsid w:val="00DC07BE"/>
    <w:rsid w:val="00DC2590"/>
    <w:rsid w:val="00DC2C54"/>
    <w:rsid w:val="00DC7A03"/>
    <w:rsid w:val="00DD27B3"/>
    <w:rsid w:val="00DD36CB"/>
    <w:rsid w:val="00DD4516"/>
    <w:rsid w:val="00DD6003"/>
    <w:rsid w:val="00DD73F3"/>
    <w:rsid w:val="00DE2600"/>
    <w:rsid w:val="00DE351B"/>
    <w:rsid w:val="00DE4C6C"/>
    <w:rsid w:val="00DE6DAD"/>
    <w:rsid w:val="00DF037C"/>
    <w:rsid w:val="00DF0A10"/>
    <w:rsid w:val="00DF0EF1"/>
    <w:rsid w:val="00DF15AC"/>
    <w:rsid w:val="00DF4A3F"/>
    <w:rsid w:val="00DF4F9B"/>
    <w:rsid w:val="00DF5EF0"/>
    <w:rsid w:val="00DF679E"/>
    <w:rsid w:val="00DF7EC2"/>
    <w:rsid w:val="00E019BA"/>
    <w:rsid w:val="00E019FC"/>
    <w:rsid w:val="00E0231E"/>
    <w:rsid w:val="00E0410A"/>
    <w:rsid w:val="00E0533B"/>
    <w:rsid w:val="00E05700"/>
    <w:rsid w:val="00E059B4"/>
    <w:rsid w:val="00E05B9D"/>
    <w:rsid w:val="00E06222"/>
    <w:rsid w:val="00E06F6B"/>
    <w:rsid w:val="00E07253"/>
    <w:rsid w:val="00E07C6B"/>
    <w:rsid w:val="00E12EFC"/>
    <w:rsid w:val="00E1304C"/>
    <w:rsid w:val="00E13496"/>
    <w:rsid w:val="00E148F2"/>
    <w:rsid w:val="00E149D9"/>
    <w:rsid w:val="00E15C02"/>
    <w:rsid w:val="00E160BD"/>
    <w:rsid w:val="00E164EA"/>
    <w:rsid w:val="00E165AE"/>
    <w:rsid w:val="00E171F4"/>
    <w:rsid w:val="00E20783"/>
    <w:rsid w:val="00E21527"/>
    <w:rsid w:val="00E21A39"/>
    <w:rsid w:val="00E2495F"/>
    <w:rsid w:val="00E24ABF"/>
    <w:rsid w:val="00E2769B"/>
    <w:rsid w:val="00E306F6"/>
    <w:rsid w:val="00E309C3"/>
    <w:rsid w:val="00E30E46"/>
    <w:rsid w:val="00E31CAF"/>
    <w:rsid w:val="00E327D9"/>
    <w:rsid w:val="00E330BB"/>
    <w:rsid w:val="00E332D1"/>
    <w:rsid w:val="00E33994"/>
    <w:rsid w:val="00E34300"/>
    <w:rsid w:val="00E348E8"/>
    <w:rsid w:val="00E34922"/>
    <w:rsid w:val="00E35379"/>
    <w:rsid w:val="00E36C67"/>
    <w:rsid w:val="00E3730A"/>
    <w:rsid w:val="00E41109"/>
    <w:rsid w:val="00E4125E"/>
    <w:rsid w:val="00E4198D"/>
    <w:rsid w:val="00E44B34"/>
    <w:rsid w:val="00E46017"/>
    <w:rsid w:val="00E465E6"/>
    <w:rsid w:val="00E46AB0"/>
    <w:rsid w:val="00E50195"/>
    <w:rsid w:val="00E513AE"/>
    <w:rsid w:val="00E519BD"/>
    <w:rsid w:val="00E522B4"/>
    <w:rsid w:val="00E522CB"/>
    <w:rsid w:val="00E554F5"/>
    <w:rsid w:val="00E559E7"/>
    <w:rsid w:val="00E563D1"/>
    <w:rsid w:val="00E56853"/>
    <w:rsid w:val="00E56F1C"/>
    <w:rsid w:val="00E57567"/>
    <w:rsid w:val="00E60E68"/>
    <w:rsid w:val="00E62B0F"/>
    <w:rsid w:val="00E63AD4"/>
    <w:rsid w:val="00E6644E"/>
    <w:rsid w:val="00E67BC7"/>
    <w:rsid w:val="00E7000D"/>
    <w:rsid w:val="00E70E77"/>
    <w:rsid w:val="00E721DF"/>
    <w:rsid w:val="00E74037"/>
    <w:rsid w:val="00E74851"/>
    <w:rsid w:val="00E74946"/>
    <w:rsid w:val="00E74B21"/>
    <w:rsid w:val="00E75B3D"/>
    <w:rsid w:val="00E75DE8"/>
    <w:rsid w:val="00E80C95"/>
    <w:rsid w:val="00E811BD"/>
    <w:rsid w:val="00E813A7"/>
    <w:rsid w:val="00E81DB6"/>
    <w:rsid w:val="00E82230"/>
    <w:rsid w:val="00E83D6B"/>
    <w:rsid w:val="00E85EEA"/>
    <w:rsid w:val="00E866CB"/>
    <w:rsid w:val="00E87E28"/>
    <w:rsid w:val="00E900BB"/>
    <w:rsid w:val="00E920FC"/>
    <w:rsid w:val="00E92FFD"/>
    <w:rsid w:val="00E93FF4"/>
    <w:rsid w:val="00E94593"/>
    <w:rsid w:val="00E95044"/>
    <w:rsid w:val="00E97B9F"/>
    <w:rsid w:val="00EA00AB"/>
    <w:rsid w:val="00EA08FC"/>
    <w:rsid w:val="00EA0DEB"/>
    <w:rsid w:val="00EA12BD"/>
    <w:rsid w:val="00EA2622"/>
    <w:rsid w:val="00EA2EEB"/>
    <w:rsid w:val="00EA2F44"/>
    <w:rsid w:val="00EA3979"/>
    <w:rsid w:val="00EA3A5F"/>
    <w:rsid w:val="00EA519B"/>
    <w:rsid w:val="00EA5848"/>
    <w:rsid w:val="00EA585A"/>
    <w:rsid w:val="00EA5A0D"/>
    <w:rsid w:val="00EA5C40"/>
    <w:rsid w:val="00EA7B1F"/>
    <w:rsid w:val="00EB0806"/>
    <w:rsid w:val="00EB0D5B"/>
    <w:rsid w:val="00EB272A"/>
    <w:rsid w:val="00EB274F"/>
    <w:rsid w:val="00EB4528"/>
    <w:rsid w:val="00EB4989"/>
    <w:rsid w:val="00EB4A60"/>
    <w:rsid w:val="00EB4B43"/>
    <w:rsid w:val="00EB5294"/>
    <w:rsid w:val="00EB57EB"/>
    <w:rsid w:val="00EB5C1B"/>
    <w:rsid w:val="00EB67E0"/>
    <w:rsid w:val="00EB6C0A"/>
    <w:rsid w:val="00EB6C3D"/>
    <w:rsid w:val="00EB76A5"/>
    <w:rsid w:val="00EC3096"/>
    <w:rsid w:val="00EC49F9"/>
    <w:rsid w:val="00EC4E33"/>
    <w:rsid w:val="00EC5E93"/>
    <w:rsid w:val="00EC60B5"/>
    <w:rsid w:val="00EC640A"/>
    <w:rsid w:val="00EC6C88"/>
    <w:rsid w:val="00EC79AA"/>
    <w:rsid w:val="00ED13ED"/>
    <w:rsid w:val="00ED222F"/>
    <w:rsid w:val="00ED35A9"/>
    <w:rsid w:val="00ED6249"/>
    <w:rsid w:val="00ED76A9"/>
    <w:rsid w:val="00EE00BF"/>
    <w:rsid w:val="00EE30BA"/>
    <w:rsid w:val="00EE322A"/>
    <w:rsid w:val="00EE43F6"/>
    <w:rsid w:val="00EE537E"/>
    <w:rsid w:val="00EE6297"/>
    <w:rsid w:val="00EE6309"/>
    <w:rsid w:val="00EE7C34"/>
    <w:rsid w:val="00EF046C"/>
    <w:rsid w:val="00EF3C5E"/>
    <w:rsid w:val="00EF3E31"/>
    <w:rsid w:val="00EF4BC9"/>
    <w:rsid w:val="00EF6E5A"/>
    <w:rsid w:val="00EF7855"/>
    <w:rsid w:val="00F005D7"/>
    <w:rsid w:val="00F009AA"/>
    <w:rsid w:val="00F01052"/>
    <w:rsid w:val="00F019EB"/>
    <w:rsid w:val="00F033DA"/>
    <w:rsid w:val="00F0448D"/>
    <w:rsid w:val="00F06BAE"/>
    <w:rsid w:val="00F07F6F"/>
    <w:rsid w:val="00F1164A"/>
    <w:rsid w:val="00F11930"/>
    <w:rsid w:val="00F11F5B"/>
    <w:rsid w:val="00F11FD6"/>
    <w:rsid w:val="00F12ADC"/>
    <w:rsid w:val="00F12E2D"/>
    <w:rsid w:val="00F12EB0"/>
    <w:rsid w:val="00F1467C"/>
    <w:rsid w:val="00F14EC5"/>
    <w:rsid w:val="00F173C8"/>
    <w:rsid w:val="00F23CB1"/>
    <w:rsid w:val="00F26495"/>
    <w:rsid w:val="00F26DC3"/>
    <w:rsid w:val="00F27CA1"/>
    <w:rsid w:val="00F30CA9"/>
    <w:rsid w:val="00F31A95"/>
    <w:rsid w:val="00F31F00"/>
    <w:rsid w:val="00F373DD"/>
    <w:rsid w:val="00F37573"/>
    <w:rsid w:val="00F42C72"/>
    <w:rsid w:val="00F43335"/>
    <w:rsid w:val="00F44B42"/>
    <w:rsid w:val="00F455F5"/>
    <w:rsid w:val="00F45607"/>
    <w:rsid w:val="00F45A86"/>
    <w:rsid w:val="00F45A90"/>
    <w:rsid w:val="00F50BE2"/>
    <w:rsid w:val="00F50C13"/>
    <w:rsid w:val="00F50D5D"/>
    <w:rsid w:val="00F50D87"/>
    <w:rsid w:val="00F52DAB"/>
    <w:rsid w:val="00F53514"/>
    <w:rsid w:val="00F55D0D"/>
    <w:rsid w:val="00F56922"/>
    <w:rsid w:val="00F56B0F"/>
    <w:rsid w:val="00F60309"/>
    <w:rsid w:val="00F60EBF"/>
    <w:rsid w:val="00F61689"/>
    <w:rsid w:val="00F619D6"/>
    <w:rsid w:val="00F62BAC"/>
    <w:rsid w:val="00F630A4"/>
    <w:rsid w:val="00F63D82"/>
    <w:rsid w:val="00F65D3D"/>
    <w:rsid w:val="00F66F4F"/>
    <w:rsid w:val="00F74355"/>
    <w:rsid w:val="00F7442D"/>
    <w:rsid w:val="00F74F90"/>
    <w:rsid w:val="00F75464"/>
    <w:rsid w:val="00F7565B"/>
    <w:rsid w:val="00F775B6"/>
    <w:rsid w:val="00F804E7"/>
    <w:rsid w:val="00F817CA"/>
    <w:rsid w:val="00F8181F"/>
    <w:rsid w:val="00F81B3D"/>
    <w:rsid w:val="00F83752"/>
    <w:rsid w:val="00F84544"/>
    <w:rsid w:val="00F84B74"/>
    <w:rsid w:val="00F856CD"/>
    <w:rsid w:val="00F902AD"/>
    <w:rsid w:val="00F90967"/>
    <w:rsid w:val="00F9307B"/>
    <w:rsid w:val="00F93795"/>
    <w:rsid w:val="00F94230"/>
    <w:rsid w:val="00F968F9"/>
    <w:rsid w:val="00FA384A"/>
    <w:rsid w:val="00FA4E7A"/>
    <w:rsid w:val="00FA59E3"/>
    <w:rsid w:val="00FA64FB"/>
    <w:rsid w:val="00FB0770"/>
    <w:rsid w:val="00FB09BD"/>
    <w:rsid w:val="00FB1130"/>
    <w:rsid w:val="00FB4713"/>
    <w:rsid w:val="00FB4D16"/>
    <w:rsid w:val="00FB5A12"/>
    <w:rsid w:val="00FB692B"/>
    <w:rsid w:val="00FC00A9"/>
    <w:rsid w:val="00FC01AE"/>
    <w:rsid w:val="00FC143F"/>
    <w:rsid w:val="00FC2A84"/>
    <w:rsid w:val="00FC3028"/>
    <w:rsid w:val="00FC322E"/>
    <w:rsid w:val="00FC3C00"/>
    <w:rsid w:val="00FC406C"/>
    <w:rsid w:val="00FC4ADD"/>
    <w:rsid w:val="00FC5A43"/>
    <w:rsid w:val="00FC5B3A"/>
    <w:rsid w:val="00FD0A32"/>
    <w:rsid w:val="00FD4054"/>
    <w:rsid w:val="00FD4442"/>
    <w:rsid w:val="00FD4C4C"/>
    <w:rsid w:val="00FD4C69"/>
    <w:rsid w:val="00FD4C84"/>
    <w:rsid w:val="00FD4E5D"/>
    <w:rsid w:val="00FD68D4"/>
    <w:rsid w:val="00FD6C93"/>
    <w:rsid w:val="00FD75C1"/>
    <w:rsid w:val="00FE110A"/>
    <w:rsid w:val="00FE3073"/>
    <w:rsid w:val="00FE43C3"/>
    <w:rsid w:val="00FE4FF8"/>
    <w:rsid w:val="00FE55AA"/>
    <w:rsid w:val="00FE5994"/>
    <w:rsid w:val="00FE6DE4"/>
    <w:rsid w:val="00FE75B4"/>
    <w:rsid w:val="00FF033C"/>
    <w:rsid w:val="00FF11B3"/>
    <w:rsid w:val="00FF3F91"/>
    <w:rsid w:val="00FF4C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7E74"/>
  <w15:docId w15:val="{CECC3BDE-A4A3-4C38-B015-F9ABF6D9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BBB"/>
    <w:pPr>
      <w:spacing w:after="160" w:line="259" w:lineRule="auto"/>
    </w:pPr>
    <w:rPr>
      <w:rFonts w:eastAsiaTheme="minorEastAsia"/>
    </w:rPr>
  </w:style>
  <w:style w:type="paragraph" w:styleId="Ttulo2">
    <w:name w:val="heading 2"/>
    <w:basedOn w:val="Normal"/>
    <w:next w:val="Normal"/>
    <w:link w:val="Ttulo2Car"/>
    <w:uiPriority w:val="9"/>
    <w:unhideWhenUsed/>
    <w:qFormat/>
    <w:rsid w:val="00167100"/>
    <w:pPr>
      <w:keepNext/>
      <w:keepLines/>
      <w:spacing w:before="120" w:after="0" w:line="240" w:lineRule="auto"/>
      <w:outlineLvl w:val="1"/>
    </w:pPr>
    <w:rPr>
      <w:rFonts w:asciiTheme="majorHAnsi" w:eastAsiaTheme="majorEastAsia" w:hAnsiTheme="majorHAnsi" w:cstheme="majorBidi"/>
      <w:cap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B28B1"/>
    <w:pPr>
      <w:ind w:left="720"/>
      <w:contextualSpacing/>
    </w:pPr>
  </w:style>
  <w:style w:type="paragraph" w:styleId="Textodeglobo">
    <w:name w:val="Balloon Text"/>
    <w:basedOn w:val="Normal"/>
    <w:link w:val="TextodegloboCar"/>
    <w:uiPriority w:val="99"/>
    <w:semiHidden/>
    <w:unhideWhenUsed/>
    <w:rsid w:val="000140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077"/>
    <w:rPr>
      <w:rFonts w:ascii="Tahoma" w:eastAsiaTheme="minorEastAsia" w:hAnsi="Tahoma" w:cs="Tahoma"/>
      <w:sz w:val="16"/>
      <w:szCs w:val="16"/>
    </w:rPr>
  </w:style>
  <w:style w:type="paragraph" w:styleId="Descripcin">
    <w:name w:val="caption"/>
    <w:basedOn w:val="Normal"/>
    <w:next w:val="Normal"/>
    <w:uiPriority w:val="35"/>
    <w:unhideWhenUsed/>
    <w:qFormat/>
    <w:rsid w:val="003F1666"/>
    <w:pPr>
      <w:spacing w:after="200" w:line="240" w:lineRule="auto"/>
    </w:pPr>
    <w:rPr>
      <w:b/>
      <w:bCs/>
      <w:color w:val="4F81BD" w:themeColor="accent1"/>
      <w:sz w:val="18"/>
      <w:szCs w:val="18"/>
    </w:rPr>
  </w:style>
  <w:style w:type="paragraph" w:styleId="Sinespaciado">
    <w:name w:val="No Spacing"/>
    <w:uiPriority w:val="1"/>
    <w:qFormat/>
    <w:rsid w:val="000A2483"/>
    <w:pPr>
      <w:spacing w:after="0" w:line="240" w:lineRule="auto"/>
    </w:pPr>
    <w:rPr>
      <w:rFonts w:eastAsiaTheme="minorEastAsia"/>
    </w:rPr>
  </w:style>
  <w:style w:type="character" w:customStyle="1" w:styleId="PrrafodelistaCar">
    <w:name w:val="Párrafo de lista Car"/>
    <w:basedOn w:val="Fuentedeprrafopredeter"/>
    <w:link w:val="Prrafodelista"/>
    <w:uiPriority w:val="34"/>
    <w:rsid w:val="001C71E2"/>
    <w:rPr>
      <w:rFonts w:eastAsiaTheme="minorEastAsia"/>
    </w:rPr>
  </w:style>
  <w:style w:type="character" w:styleId="Hipervnculo">
    <w:name w:val="Hyperlink"/>
    <w:basedOn w:val="Fuentedeprrafopredeter"/>
    <w:uiPriority w:val="99"/>
    <w:unhideWhenUsed/>
    <w:rsid w:val="003B308A"/>
    <w:rPr>
      <w:color w:val="0000FF" w:themeColor="hyperlink"/>
      <w:u w:val="single"/>
    </w:rPr>
  </w:style>
  <w:style w:type="character" w:styleId="Textoennegrita">
    <w:name w:val="Strong"/>
    <w:basedOn w:val="Fuentedeprrafopredeter"/>
    <w:uiPriority w:val="22"/>
    <w:qFormat/>
    <w:rsid w:val="00915381"/>
    <w:rPr>
      <w:b/>
      <w:bCs/>
    </w:rPr>
  </w:style>
  <w:style w:type="table" w:styleId="Tablaconcuadrcula">
    <w:name w:val="Table Grid"/>
    <w:basedOn w:val="Tablanormal"/>
    <w:uiPriority w:val="59"/>
    <w:rsid w:val="0013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1A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1A41"/>
    <w:rPr>
      <w:rFonts w:eastAsiaTheme="minorEastAsia"/>
    </w:rPr>
  </w:style>
  <w:style w:type="paragraph" w:styleId="Piedepgina">
    <w:name w:val="footer"/>
    <w:basedOn w:val="Normal"/>
    <w:link w:val="PiedepginaCar"/>
    <w:uiPriority w:val="99"/>
    <w:unhideWhenUsed/>
    <w:rsid w:val="00311A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1A41"/>
    <w:rPr>
      <w:rFonts w:eastAsiaTheme="minorEastAsia"/>
    </w:rPr>
  </w:style>
  <w:style w:type="paragraph" w:customStyle="1" w:styleId="Default">
    <w:name w:val="Default"/>
    <w:rsid w:val="0085189C"/>
    <w:pPr>
      <w:autoSpaceDE w:val="0"/>
      <w:autoSpaceDN w:val="0"/>
      <w:adjustRightInd w:val="0"/>
      <w:spacing w:after="0" w:line="240" w:lineRule="auto"/>
    </w:pPr>
    <w:rPr>
      <w:rFonts w:ascii="Cambria" w:hAnsi="Cambria" w:cs="Cambria"/>
      <w:color w:val="000000"/>
      <w:sz w:val="24"/>
      <w:szCs w:val="24"/>
    </w:rPr>
  </w:style>
  <w:style w:type="character" w:customStyle="1" w:styleId="Ttulo2Car">
    <w:name w:val="Título 2 Car"/>
    <w:basedOn w:val="Fuentedeprrafopredeter"/>
    <w:link w:val="Ttulo2"/>
    <w:uiPriority w:val="9"/>
    <w:rsid w:val="00167100"/>
    <w:rPr>
      <w:rFonts w:asciiTheme="majorHAnsi" w:eastAsiaTheme="majorEastAsia" w:hAnsiTheme="majorHAnsi" w:cstheme="majorBidi"/>
      <w:caps/>
      <w:sz w:val="28"/>
      <w:szCs w:val="28"/>
    </w:rPr>
  </w:style>
  <w:style w:type="character" w:styleId="Mencinsinresolver">
    <w:name w:val="Unresolved Mention"/>
    <w:basedOn w:val="Fuentedeprrafopredeter"/>
    <w:uiPriority w:val="99"/>
    <w:semiHidden/>
    <w:unhideWhenUsed/>
    <w:rsid w:val="003E0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6730">
      <w:bodyDiv w:val="1"/>
      <w:marLeft w:val="0"/>
      <w:marRight w:val="0"/>
      <w:marTop w:val="0"/>
      <w:marBottom w:val="0"/>
      <w:divBdr>
        <w:top w:val="none" w:sz="0" w:space="0" w:color="auto"/>
        <w:left w:val="none" w:sz="0" w:space="0" w:color="auto"/>
        <w:bottom w:val="none" w:sz="0" w:space="0" w:color="auto"/>
        <w:right w:val="none" w:sz="0" w:space="0" w:color="auto"/>
      </w:divBdr>
    </w:div>
    <w:div w:id="110756282">
      <w:bodyDiv w:val="1"/>
      <w:marLeft w:val="0"/>
      <w:marRight w:val="0"/>
      <w:marTop w:val="0"/>
      <w:marBottom w:val="0"/>
      <w:divBdr>
        <w:top w:val="none" w:sz="0" w:space="0" w:color="auto"/>
        <w:left w:val="none" w:sz="0" w:space="0" w:color="auto"/>
        <w:bottom w:val="none" w:sz="0" w:space="0" w:color="auto"/>
        <w:right w:val="none" w:sz="0" w:space="0" w:color="auto"/>
      </w:divBdr>
    </w:div>
    <w:div w:id="418647887">
      <w:bodyDiv w:val="1"/>
      <w:marLeft w:val="0"/>
      <w:marRight w:val="0"/>
      <w:marTop w:val="0"/>
      <w:marBottom w:val="0"/>
      <w:divBdr>
        <w:top w:val="none" w:sz="0" w:space="0" w:color="auto"/>
        <w:left w:val="none" w:sz="0" w:space="0" w:color="auto"/>
        <w:bottom w:val="none" w:sz="0" w:space="0" w:color="auto"/>
        <w:right w:val="none" w:sz="0" w:space="0" w:color="auto"/>
      </w:divBdr>
    </w:div>
    <w:div w:id="453407181">
      <w:bodyDiv w:val="1"/>
      <w:marLeft w:val="0"/>
      <w:marRight w:val="0"/>
      <w:marTop w:val="0"/>
      <w:marBottom w:val="0"/>
      <w:divBdr>
        <w:top w:val="none" w:sz="0" w:space="0" w:color="auto"/>
        <w:left w:val="none" w:sz="0" w:space="0" w:color="auto"/>
        <w:bottom w:val="none" w:sz="0" w:space="0" w:color="auto"/>
        <w:right w:val="none" w:sz="0" w:space="0" w:color="auto"/>
      </w:divBdr>
    </w:div>
    <w:div w:id="483276220">
      <w:bodyDiv w:val="1"/>
      <w:marLeft w:val="0"/>
      <w:marRight w:val="0"/>
      <w:marTop w:val="0"/>
      <w:marBottom w:val="0"/>
      <w:divBdr>
        <w:top w:val="none" w:sz="0" w:space="0" w:color="auto"/>
        <w:left w:val="none" w:sz="0" w:space="0" w:color="auto"/>
        <w:bottom w:val="none" w:sz="0" w:space="0" w:color="auto"/>
        <w:right w:val="none" w:sz="0" w:space="0" w:color="auto"/>
      </w:divBdr>
    </w:div>
    <w:div w:id="576211039">
      <w:bodyDiv w:val="1"/>
      <w:marLeft w:val="0"/>
      <w:marRight w:val="0"/>
      <w:marTop w:val="0"/>
      <w:marBottom w:val="0"/>
      <w:divBdr>
        <w:top w:val="none" w:sz="0" w:space="0" w:color="auto"/>
        <w:left w:val="none" w:sz="0" w:space="0" w:color="auto"/>
        <w:bottom w:val="none" w:sz="0" w:space="0" w:color="auto"/>
        <w:right w:val="none" w:sz="0" w:space="0" w:color="auto"/>
      </w:divBdr>
    </w:div>
    <w:div w:id="756559375">
      <w:bodyDiv w:val="1"/>
      <w:marLeft w:val="0"/>
      <w:marRight w:val="0"/>
      <w:marTop w:val="0"/>
      <w:marBottom w:val="0"/>
      <w:divBdr>
        <w:top w:val="none" w:sz="0" w:space="0" w:color="auto"/>
        <w:left w:val="none" w:sz="0" w:space="0" w:color="auto"/>
        <w:bottom w:val="none" w:sz="0" w:space="0" w:color="auto"/>
        <w:right w:val="none" w:sz="0" w:space="0" w:color="auto"/>
      </w:divBdr>
    </w:div>
    <w:div w:id="840630509">
      <w:bodyDiv w:val="1"/>
      <w:marLeft w:val="0"/>
      <w:marRight w:val="0"/>
      <w:marTop w:val="0"/>
      <w:marBottom w:val="0"/>
      <w:divBdr>
        <w:top w:val="none" w:sz="0" w:space="0" w:color="auto"/>
        <w:left w:val="none" w:sz="0" w:space="0" w:color="auto"/>
        <w:bottom w:val="none" w:sz="0" w:space="0" w:color="auto"/>
        <w:right w:val="none" w:sz="0" w:space="0" w:color="auto"/>
      </w:divBdr>
    </w:div>
    <w:div w:id="841240186">
      <w:bodyDiv w:val="1"/>
      <w:marLeft w:val="0"/>
      <w:marRight w:val="0"/>
      <w:marTop w:val="0"/>
      <w:marBottom w:val="0"/>
      <w:divBdr>
        <w:top w:val="none" w:sz="0" w:space="0" w:color="auto"/>
        <w:left w:val="none" w:sz="0" w:space="0" w:color="auto"/>
        <w:bottom w:val="none" w:sz="0" w:space="0" w:color="auto"/>
        <w:right w:val="none" w:sz="0" w:space="0" w:color="auto"/>
      </w:divBdr>
    </w:div>
    <w:div w:id="888608307">
      <w:bodyDiv w:val="1"/>
      <w:marLeft w:val="0"/>
      <w:marRight w:val="0"/>
      <w:marTop w:val="0"/>
      <w:marBottom w:val="0"/>
      <w:divBdr>
        <w:top w:val="none" w:sz="0" w:space="0" w:color="auto"/>
        <w:left w:val="none" w:sz="0" w:space="0" w:color="auto"/>
        <w:bottom w:val="none" w:sz="0" w:space="0" w:color="auto"/>
        <w:right w:val="none" w:sz="0" w:space="0" w:color="auto"/>
      </w:divBdr>
    </w:div>
    <w:div w:id="911042791">
      <w:bodyDiv w:val="1"/>
      <w:marLeft w:val="0"/>
      <w:marRight w:val="0"/>
      <w:marTop w:val="0"/>
      <w:marBottom w:val="0"/>
      <w:divBdr>
        <w:top w:val="none" w:sz="0" w:space="0" w:color="auto"/>
        <w:left w:val="none" w:sz="0" w:space="0" w:color="auto"/>
        <w:bottom w:val="none" w:sz="0" w:space="0" w:color="auto"/>
        <w:right w:val="none" w:sz="0" w:space="0" w:color="auto"/>
      </w:divBdr>
    </w:div>
    <w:div w:id="954947609">
      <w:bodyDiv w:val="1"/>
      <w:marLeft w:val="0"/>
      <w:marRight w:val="0"/>
      <w:marTop w:val="0"/>
      <w:marBottom w:val="0"/>
      <w:divBdr>
        <w:top w:val="none" w:sz="0" w:space="0" w:color="auto"/>
        <w:left w:val="none" w:sz="0" w:space="0" w:color="auto"/>
        <w:bottom w:val="none" w:sz="0" w:space="0" w:color="auto"/>
        <w:right w:val="none" w:sz="0" w:space="0" w:color="auto"/>
      </w:divBdr>
    </w:div>
    <w:div w:id="1162964071">
      <w:bodyDiv w:val="1"/>
      <w:marLeft w:val="0"/>
      <w:marRight w:val="0"/>
      <w:marTop w:val="0"/>
      <w:marBottom w:val="0"/>
      <w:divBdr>
        <w:top w:val="none" w:sz="0" w:space="0" w:color="auto"/>
        <w:left w:val="none" w:sz="0" w:space="0" w:color="auto"/>
        <w:bottom w:val="none" w:sz="0" w:space="0" w:color="auto"/>
        <w:right w:val="none" w:sz="0" w:space="0" w:color="auto"/>
      </w:divBdr>
    </w:div>
    <w:div w:id="1250195139">
      <w:bodyDiv w:val="1"/>
      <w:marLeft w:val="0"/>
      <w:marRight w:val="0"/>
      <w:marTop w:val="0"/>
      <w:marBottom w:val="0"/>
      <w:divBdr>
        <w:top w:val="none" w:sz="0" w:space="0" w:color="auto"/>
        <w:left w:val="none" w:sz="0" w:space="0" w:color="auto"/>
        <w:bottom w:val="none" w:sz="0" w:space="0" w:color="auto"/>
        <w:right w:val="none" w:sz="0" w:space="0" w:color="auto"/>
      </w:divBdr>
    </w:div>
    <w:div w:id="1401518847">
      <w:bodyDiv w:val="1"/>
      <w:marLeft w:val="0"/>
      <w:marRight w:val="0"/>
      <w:marTop w:val="0"/>
      <w:marBottom w:val="0"/>
      <w:divBdr>
        <w:top w:val="none" w:sz="0" w:space="0" w:color="auto"/>
        <w:left w:val="none" w:sz="0" w:space="0" w:color="auto"/>
        <w:bottom w:val="none" w:sz="0" w:space="0" w:color="auto"/>
        <w:right w:val="none" w:sz="0" w:space="0" w:color="auto"/>
      </w:divBdr>
    </w:div>
    <w:div w:id="1481263108">
      <w:bodyDiv w:val="1"/>
      <w:marLeft w:val="0"/>
      <w:marRight w:val="0"/>
      <w:marTop w:val="0"/>
      <w:marBottom w:val="0"/>
      <w:divBdr>
        <w:top w:val="none" w:sz="0" w:space="0" w:color="auto"/>
        <w:left w:val="none" w:sz="0" w:space="0" w:color="auto"/>
        <w:bottom w:val="none" w:sz="0" w:space="0" w:color="auto"/>
        <w:right w:val="none" w:sz="0" w:space="0" w:color="auto"/>
      </w:divBdr>
    </w:div>
    <w:div w:id="1507668454">
      <w:bodyDiv w:val="1"/>
      <w:marLeft w:val="0"/>
      <w:marRight w:val="0"/>
      <w:marTop w:val="0"/>
      <w:marBottom w:val="0"/>
      <w:divBdr>
        <w:top w:val="none" w:sz="0" w:space="0" w:color="auto"/>
        <w:left w:val="none" w:sz="0" w:space="0" w:color="auto"/>
        <w:bottom w:val="none" w:sz="0" w:space="0" w:color="auto"/>
        <w:right w:val="none" w:sz="0" w:space="0" w:color="auto"/>
      </w:divBdr>
    </w:div>
    <w:div w:id="1577009456">
      <w:bodyDiv w:val="1"/>
      <w:marLeft w:val="0"/>
      <w:marRight w:val="0"/>
      <w:marTop w:val="0"/>
      <w:marBottom w:val="0"/>
      <w:divBdr>
        <w:top w:val="none" w:sz="0" w:space="0" w:color="auto"/>
        <w:left w:val="none" w:sz="0" w:space="0" w:color="auto"/>
        <w:bottom w:val="none" w:sz="0" w:space="0" w:color="auto"/>
        <w:right w:val="none" w:sz="0" w:space="0" w:color="auto"/>
      </w:divBdr>
    </w:div>
    <w:div w:id="1930651657">
      <w:bodyDiv w:val="1"/>
      <w:marLeft w:val="0"/>
      <w:marRight w:val="0"/>
      <w:marTop w:val="0"/>
      <w:marBottom w:val="0"/>
      <w:divBdr>
        <w:top w:val="none" w:sz="0" w:space="0" w:color="auto"/>
        <w:left w:val="none" w:sz="0" w:space="0" w:color="auto"/>
        <w:bottom w:val="none" w:sz="0" w:space="0" w:color="auto"/>
        <w:right w:val="none" w:sz="0" w:space="0" w:color="auto"/>
      </w:divBdr>
    </w:div>
    <w:div w:id="1984239101">
      <w:bodyDiv w:val="1"/>
      <w:marLeft w:val="0"/>
      <w:marRight w:val="0"/>
      <w:marTop w:val="0"/>
      <w:marBottom w:val="0"/>
      <w:divBdr>
        <w:top w:val="none" w:sz="0" w:space="0" w:color="auto"/>
        <w:left w:val="none" w:sz="0" w:space="0" w:color="auto"/>
        <w:bottom w:val="none" w:sz="0" w:space="0" w:color="auto"/>
        <w:right w:val="none" w:sz="0" w:space="0" w:color="auto"/>
      </w:divBdr>
    </w:div>
    <w:div w:id="2073310392">
      <w:bodyDiv w:val="1"/>
      <w:marLeft w:val="0"/>
      <w:marRight w:val="0"/>
      <w:marTop w:val="0"/>
      <w:marBottom w:val="0"/>
      <w:divBdr>
        <w:top w:val="none" w:sz="0" w:space="0" w:color="auto"/>
        <w:left w:val="none" w:sz="0" w:space="0" w:color="auto"/>
        <w:bottom w:val="none" w:sz="0" w:space="0" w:color="auto"/>
        <w:right w:val="none" w:sz="0" w:space="0" w:color="auto"/>
      </w:divBdr>
    </w:div>
    <w:div w:id="207500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ruiz_12@yahoo.com.ar" TargetMode="External"/><Relationship Id="rId13" Type="http://schemas.openxmlformats.org/officeDocument/2006/relationships/image" Target="media/image4.png"/><Relationship Id="rId18" Type="http://schemas.openxmlformats.org/officeDocument/2006/relationships/hyperlink" Target="https://www.argentina.gob.ar/educacion/universidades/informacion/publicaciones/anuarios" TargetMode="External"/><Relationship Id="rId3" Type="http://schemas.openxmlformats.org/officeDocument/2006/relationships/styles" Target="styles.xml"/><Relationship Id="rId21" Type="http://schemas.openxmlformats.org/officeDocument/2006/relationships/hyperlink" Target="https://datos.bancomundial.org//indicador/SE.XPD.TOTL.GD.ZS?locations=AR"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1016/j.resu.2017.06.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holger-scheel.de/ems/" TargetMode="External"/><Relationship Id="rId4" Type="http://schemas.openxmlformats.org/officeDocument/2006/relationships/settings" Target="settings.xml"/><Relationship Id="rId9" Type="http://schemas.openxmlformats.org/officeDocument/2006/relationships/hyperlink" Target="mailto:esteban.reston@gmail.com" TargetMode="External"/><Relationship Id="rId14" Type="http://schemas.openxmlformats.org/officeDocument/2006/relationships/image" Target="media/image5.png"/><Relationship Id="rId22" Type="http://schemas.openxmlformats.org/officeDocument/2006/relationships/hyperlink" Target="https://doi.org/10.1016/j.estger.2017.06.0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08F56-B3C2-4F58-931D-D79DAD24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6015</Words>
  <Characters>33085</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Esteban</dc:creator>
  <cp:lastModifiedBy>patricia kent</cp:lastModifiedBy>
  <cp:revision>67</cp:revision>
  <cp:lastPrinted>2021-07-28T22:08:00Z</cp:lastPrinted>
  <dcterms:created xsi:type="dcterms:W3CDTF">2021-09-27T18:35:00Z</dcterms:created>
  <dcterms:modified xsi:type="dcterms:W3CDTF">2021-10-27T13:52:00Z</dcterms:modified>
</cp:coreProperties>
</file>